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156" w:line="312" w:lineRule="auto"/>
        <w:ind w:firstLineChars="149"/>
        <w:jc w:val="center"/>
        <w:rPr>
          <w:rFonts w:ascii="等线" w:hAnsi="等线" w:eastAsia="等线"/>
          <w:color w:val="000000"/>
          <w:spacing w:val="-15"/>
          <w:kern w:val="0"/>
          <w:sz w:val="40"/>
          <w:szCs w:val="40"/>
        </w:rPr>
      </w:pPr>
      <w:r>
        <w:rPr>
          <w:rFonts w:ascii="等线" w:hAnsi="等线" w:eastAsia="等线"/>
          <w:color w:val="000000"/>
          <w:spacing w:val="-15"/>
          <w:kern w:val="0"/>
          <w:sz w:val="40"/>
          <w:szCs w:val="40"/>
        </w:rPr>
        <w:t>西南财经大学会计学院本科交流学生</w:t>
      </w:r>
    </w:p>
    <w:p>
      <w:pPr>
        <w:snapToGrid w:val="0"/>
        <w:spacing w:before="0" w:after="156" w:line="312" w:lineRule="auto"/>
        <w:ind w:firstLineChars="149"/>
        <w:jc w:val="center"/>
        <w:rPr>
          <w:rFonts w:ascii="等线" w:hAnsi="等线" w:eastAsia="等线"/>
          <w:color w:val="000000"/>
          <w:spacing w:val="-15"/>
          <w:kern w:val="0"/>
          <w:sz w:val="40"/>
          <w:szCs w:val="40"/>
        </w:rPr>
      </w:pPr>
      <w:r>
        <w:rPr>
          <w:rFonts w:ascii="等线" w:hAnsi="等线" w:eastAsia="等线"/>
          <w:color w:val="000000"/>
          <w:spacing w:val="-15"/>
          <w:kern w:val="0"/>
          <w:sz w:val="40"/>
          <w:szCs w:val="40"/>
        </w:rPr>
        <w:t>课程认定及学分转换指导办法</w:t>
      </w:r>
    </w:p>
    <w:p>
      <w:pPr>
        <w:snapToGrid w:val="0"/>
        <w:spacing w:before="0" w:after="156" w:line="312" w:lineRule="auto"/>
        <w:ind w:firstLineChars="149"/>
        <w:jc w:val="center"/>
        <w:rPr>
          <w:rFonts w:ascii="等线" w:hAnsi="等线" w:eastAsia="等线"/>
          <w:color w:val="000000"/>
          <w:spacing w:val="-15"/>
          <w:kern w:val="0"/>
          <w:sz w:val="28"/>
          <w:szCs w:val="28"/>
        </w:rPr>
      </w:pPr>
      <w:r>
        <w:rPr>
          <w:rFonts w:ascii="等线" w:hAnsi="等线" w:eastAsia="等线"/>
          <w:color w:val="000000"/>
          <w:spacing w:val="-15"/>
          <w:kern w:val="0"/>
          <w:sz w:val="28"/>
          <w:szCs w:val="28"/>
        </w:rPr>
        <w:t>（2022年</w:t>
      </w:r>
      <w:r>
        <w:rPr>
          <w:rFonts w:hint="eastAsia" w:ascii="等线" w:hAnsi="等线" w:eastAsia="等线"/>
          <w:color w:val="000000"/>
          <w:spacing w:val="-15"/>
          <w:kern w:val="0"/>
          <w:sz w:val="28"/>
          <w:szCs w:val="28"/>
          <w:lang w:val="en-US" w:eastAsia="zh-CN"/>
        </w:rPr>
        <w:t>6</w:t>
      </w:r>
      <w:r>
        <w:rPr>
          <w:rFonts w:ascii="等线" w:hAnsi="等线" w:eastAsia="等线"/>
          <w:color w:val="000000"/>
          <w:spacing w:val="-15"/>
          <w:kern w:val="0"/>
          <w:sz w:val="28"/>
          <w:szCs w:val="28"/>
        </w:rPr>
        <w:t>月</w:t>
      </w:r>
      <w:r>
        <w:rPr>
          <w:rFonts w:hint="eastAsia" w:ascii="等线" w:hAnsi="等线" w:eastAsia="等线"/>
          <w:color w:val="000000"/>
          <w:spacing w:val="-15"/>
          <w:kern w:val="0"/>
          <w:sz w:val="28"/>
          <w:szCs w:val="28"/>
          <w:lang w:val="en-US" w:eastAsia="zh-CN"/>
        </w:rPr>
        <w:t>修订版</w:t>
      </w:r>
      <w:r>
        <w:rPr>
          <w:rFonts w:ascii="等线" w:hAnsi="等线" w:eastAsia="等线"/>
          <w:color w:val="000000"/>
          <w:spacing w:val="-15"/>
          <w:kern w:val="0"/>
          <w:sz w:val="28"/>
          <w:szCs w:val="28"/>
        </w:rPr>
        <w:t>）</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为了进一步促进学院国际交流与合作高质量发展，规范本科交流学生课程认定及学分转换标准，确保国际交流学习课程认定及学分转换公平性与公正性，会计学院在《西南财经大学交流学生管理办法》、《西南财经大学本科学生课程认定及学分转换办法》的基础上特制定本指导办法。</w:t>
      </w:r>
    </w:p>
    <w:p>
      <w:pPr>
        <w:snapToGrid w:val="0"/>
        <w:spacing w:before="0" w:after="156" w:line="312" w:lineRule="auto"/>
        <w:ind w:firstLineChars="149"/>
        <w:jc w:val="left"/>
        <w:rPr>
          <w:rFonts w:ascii="宋体" w:hAnsi="宋体" w:eastAsia="宋体"/>
          <w:b/>
          <w:bCs/>
          <w:color w:val="000000"/>
          <w:spacing w:val="0"/>
          <w:kern w:val="0"/>
          <w:sz w:val="24"/>
          <w:szCs w:val="24"/>
        </w:rPr>
      </w:pPr>
      <w:r>
        <w:rPr>
          <w:rFonts w:ascii="宋体" w:hAnsi="宋体" w:eastAsia="宋体"/>
          <w:b/>
          <w:bCs/>
          <w:color w:val="000000"/>
          <w:spacing w:val="0"/>
          <w:kern w:val="0"/>
          <w:sz w:val="24"/>
          <w:szCs w:val="24"/>
        </w:rPr>
        <w:t>一．课程认定</w:t>
      </w:r>
    </w:p>
    <w:p>
      <w:pPr>
        <w:numPr>
          <w:ilvl w:val="0"/>
          <w:numId w:val="0"/>
        </w:numPr>
        <w:snapToGrid w:val="0"/>
        <w:spacing w:before="0" w:after="156" w:line="312" w:lineRule="auto"/>
        <w:ind w:firstLine="480" w:firstLineChars="200"/>
        <w:jc w:val="left"/>
        <w:rPr>
          <w:rFonts w:ascii="宋体" w:hAnsi="宋体" w:eastAsia="宋体"/>
          <w:color w:val="000000"/>
          <w:spacing w:val="0"/>
          <w:kern w:val="0"/>
          <w:sz w:val="24"/>
          <w:szCs w:val="24"/>
        </w:rPr>
      </w:pPr>
      <w:r>
        <w:rPr>
          <w:rFonts w:hint="eastAsia" w:ascii="宋体" w:hAnsi="宋体" w:eastAsia="宋体"/>
          <w:color w:val="000000"/>
          <w:spacing w:val="0"/>
          <w:kern w:val="0"/>
          <w:sz w:val="24"/>
          <w:szCs w:val="24"/>
          <w:lang w:val="en-US" w:eastAsia="zh-CN"/>
        </w:rPr>
        <w:t xml:space="preserve">1. </w:t>
      </w:r>
      <w:r>
        <w:rPr>
          <w:rFonts w:ascii="宋体" w:hAnsi="宋体" w:eastAsia="宋体"/>
          <w:color w:val="000000"/>
          <w:spacing w:val="0"/>
          <w:kern w:val="0"/>
          <w:sz w:val="24"/>
          <w:szCs w:val="24"/>
        </w:rPr>
        <w:t>通识教育基础课、大学科基础课、专业必修课、以及准出课程（培养方案中专业准入准出标准中可查）是必修类课程，学生可在交流学校修读，但应与本专业培养计划中的课程名称、内容一致。如交流学校拟选课程名称存在明显差异，但课程内容有关联，须填写《西南财经大学会计学院本科交流学生修读认定表》，并提供交流学校该门课程的教学大纲，由我校开课学院课程组老师予以认定。如两门课程的内容相似度达到70%，可进入学分转换环节。</w:t>
      </w:r>
    </w:p>
    <w:p>
      <w:pPr>
        <w:numPr>
          <w:ilvl w:val="0"/>
          <w:numId w:val="0"/>
        </w:numPr>
        <w:snapToGrid w:val="0"/>
        <w:spacing w:before="0" w:after="156" w:line="312" w:lineRule="auto"/>
        <w:ind w:firstLine="480" w:firstLineChars="200"/>
        <w:jc w:val="left"/>
        <w:rPr>
          <w:rFonts w:ascii="宋体" w:hAnsi="宋体" w:eastAsia="宋体"/>
          <w:color w:val="000000"/>
          <w:spacing w:val="0"/>
          <w:kern w:val="0"/>
          <w:sz w:val="24"/>
          <w:szCs w:val="24"/>
        </w:rPr>
      </w:pPr>
      <w:r>
        <w:rPr>
          <w:rFonts w:hint="eastAsia" w:ascii="宋体" w:hAnsi="宋体" w:eastAsia="宋体"/>
          <w:color w:val="000000"/>
          <w:spacing w:val="0"/>
          <w:kern w:val="0"/>
          <w:sz w:val="24"/>
          <w:szCs w:val="24"/>
          <w:lang w:val="en-US" w:eastAsia="zh-CN"/>
        </w:rPr>
        <w:t xml:space="preserve">2. </w:t>
      </w:r>
      <w:r>
        <w:rPr>
          <w:rFonts w:ascii="宋体" w:hAnsi="宋体" w:eastAsia="宋体"/>
          <w:color w:val="000000"/>
          <w:spacing w:val="0"/>
          <w:kern w:val="0"/>
          <w:sz w:val="24"/>
          <w:szCs w:val="24"/>
        </w:rPr>
        <w:t>专业方向课、通识教育核心课、自由选修课及跨专业选修课是选修类课程，学生在毕业时按照所在年级所在专业的培养方案完成各课程模块的总学分即可，如以上模块中包含准出课程，则准出课程按第1条办法进行课程认定。与专业相关的课程，方可转换为专业方向课学分。</w:t>
      </w:r>
    </w:p>
    <w:p>
      <w:pPr>
        <w:numPr>
          <w:ilvl w:val="0"/>
          <w:numId w:val="0"/>
        </w:numPr>
        <w:snapToGrid w:val="0"/>
        <w:spacing w:before="0" w:after="156" w:line="312" w:lineRule="auto"/>
        <w:ind w:firstLine="480" w:firstLineChars="200"/>
        <w:jc w:val="left"/>
        <w:rPr>
          <w:rFonts w:ascii="宋体" w:hAnsi="宋体" w:eastAsia="宋体"/>
          <w:color w:val="000000"/>
          <w:spacing w:val="0"/>
          <w:kern w:val="0"/>
          <w:sz w:val="24"/>
          <w:szCs w:val="24"/>
        </w:rPr>
      </w:pPr>
      <w:r>
        <w:rPr>
          <w:rFonts w:hint="eastAsia" w:ascii="宋体" w:hAnsi="宋体" w:eastAsia="宋体"/>
          <w:color w:val="000000"/>
          <w:spacing w:val="0"/>
          <w:kern w:val="0"/>
          <w:sz w:val="24"/>
          <w:szCs w:val="24"/>
          <w:lang w:val="en-US" w:eastAsia="zh-CN"/>
        </w:rPr>
        <w:t xml:space="preserve">3. </w:t>
      </w:r>
      <w:r>
        <w:rPr>
          <w:rFonts w:ascii="宋体" w:hAnsi="宋体" w:eastAsia="宋体"/>
          <w:color w:val="000000"/>
          <w:spacing w:val="0"/>
          <w:kern w:val="0"/>
          <w:sz w:val="24"/>
          <w:szCs w:val="24"/>
        </w:rPr>
        <w:t>实践课须按照本年级本专业人才培养方案的要求完成。如确有实践课程需进行认定，则按照《西南财经大学本科学生课程认定及学分转换办法》相关规定执行。</w:t>
      </w:r>
    </w:p>
    <w:p>
      <w:pPr>
        <w:numPr>
          <w:ilvl w:val="0"/>
          <w:numId w:val="0"/>
        </w:numPr>
        <w:snapToGrid w:val="0"/>
        <w:spacing w:before="0" w:after="156" w:line="312" w:lineRule="auto"/>
        <w:ind w:firstLine="480" w:firstLineChars="200"/>
        <w:jc w:val="left"/>
        <w:rPr>
          <w:rFonts w:ascii="宋体" w:hAnsi="宋体" w:eastAsia="宋体"/>
          <w:color w:val="000000"/>
          <w:spacing w:val="0"/>
          <w:kern w:val="0"/>
          <w:sz w:val="24"/>
          <w:szCs w:val="24"/>
        </w:rPr>
      </w:pPr>
      <w:r>
        <w:rPr>
          <w:rFonts w:hint="eastAsia" w:ascii="宋体" w:hAnsi="宋体" w:eastAsia="宋体"/>
          <w:color w:val="000000"/>
          <w:spacing w:val="0"/>
          <w:kern w:val="0"/>
          <w:sz w:val="24"/>
          <w:szCs w:val="24"/>
          <w:lang w:val="en-US" w:eastAsia="zh-CN"/>
        </w:rPr>
        <w:t xml:space="preserve">4. </w:t>
      </w:r>
      <w:r>
        <w:rPr>
          <w:rFonts w:ascii="宋体" w:hAnsi="宋体" w:eastAsia="宋体"/>
          <w:color w:val="000000"/>
          <w:spacing w:val="0"/>
          <w:kern w:val="0"/>
          <w:sz w:val="24"/>
          <w:szCs w:val="24"/>
        </w:rPr>
        <w:t>台湾地区高校交流，交流期间，每学期选课不得超过7门（其中自由选修课不得超过2门）；不计学分的课程如体育课不限；每学期经转换后的学分不得超过28学分。必修类课程、选修课程、实践课程的具体认定按照前述3条规则执行。</w:t>
      </w:r>
    </w:p>
    <w:p>
      <w:pPr>
        <w:snapToGrid w:val="0"/>
        <w:spacing w:before="0" w:after="156" w:line="312" w:lineRule="auto"/>
        <w:ind w:firstLineChars="100"/>
        <w:jc w:val="left"/>
        <w:rPr>
          <w:rFonts w:ascii="宋体" w:hAnsi="宋体" w:eastAsia="宋体"/>
          <w:b/>
          <w:bCs/>
          <w:color w:val="000000"/>
          <w:spacing w:val="0"/>
          <w:kern w:val="0"/>
          <w:sz w:val="24"/>
          <w:szCs w:val="24"/>
        </w:rPr>
      </w:pPr>
      <w:r>
        <w:rPr>
          <w:rFonts w:ascii="宋体" w:hAnsi="宋体" w:eastAsia="宋体"/>
          <w:b/>
          <w:bCs/>
          <w:color w:val="000000"/>
          <w:spacing w:val="0"/>
          <w:kern w:val="0"/>
          <w:sz w:val="24"/>
          <w:szCs w:val="24"/>
        </w:rPr>
        <w:t>二、学分认定</w:t>
      </w:r>
    </w:p>
    <w:p>
      <w:pPr>
        <w:numPr>
          <w:ilvl w:val="0"/>
          <w:numId w:val="0"/>
        </w:numPr>
        <w:snapToGrid w:val="0"/>
        <w:spacing w:before="0" w:after="156" w:line="312" w:lineRule="auto"/>
        <w:ind w:firstLine="480" w:firstLineChars="200"/>
        <w:jc w:val="left"/>
        <w:rPr>
          <w:rFonts w:ascii="宋体" w:hAnsi="宋体" w:eastAsia="宋体"/>
          <w:color w:val="000000"/>
          <w:spacing w:val="0"/>
          <w:kern w:val="0"/>
          <w:sz w:val="24"/>
          <w:szCs w:val="24"/>
        </w:rPr>
      </w:pPr>
      <w:r>
        <w:rPr>
          <w:rFonts w:hint="eastAsia" w:ascii="宋体" w:hAnsi="宋体" w:eastAsia="宋体"/>
          <w:color w:val="000000"/>
          <w:spacing w:val="0"/>
          <w:kern w:val="2"/>
          <w:sz w:val="24"/>
          <w:szCs w:val="24"/>
          <w:lang w:val="en-US" w:eastAsia="zh-CN"/>
        </w:rPr>
        <w:t>1. 按比例转换。</w:t>
      </w:r>
      <w:r>
        <w:rPr>
          <w:rFonts w:ascii="宋体" w:hAnsi="宋体" w:eastAsia="宋体"/>
          <w:color w:val="000000"/>
          <w:spacing w:val="0"/>
          <w:kern w:val="2"/>
          <w:sz w:val="24"/>
          <w:szCs w:val="24"/>
        </w:rPr>
        <w:t>如交流学校同一专业课程总学分和单门课程学分与我校不一致，</w:t>
      </w:r>
      <w:r>
        <w:rPr>
          <w:rFonts w:ascii="宋体" w:hAnsi="宋体" w:eastAsia="宋体"/>
          <w:color w:val="000000"/>
          <w:spacing w:val="0"/>
          <w:kern w:val="0"/>
          <w:sz w:val="24"/>
          <w:szCs w:val="24"/>
        </w:rPr>
        <w:t>交流学校课程学分转成我校学分的折算比例公式为：我校毕业要求总学分÷交流学校毕业要求总学分。例如，我校毕业要求总学分为172学分，交流学校毕业要求总学分为130学分，则折算比例为：172÷130≈1.3；则交流学校一门4学分课程经折算后可转换为：4×1.3≈5学分。如按比例折算后，学分出现小数位，允许进行四舍五入。</w:t>
      </w:r>
    </w:p>
    <w:p>
      <w:pPr>
        <w:numPr>
          <w:ilvl w:val="0"/>
          <w:numId w:val="0"/>
        </w:numPr>
        <w:snapToGrid w:val="0"/>
        <w:spacing w:before="0" w:after="156" w:line="312" w:lineRule="auto"/>
        <w:ind w:firstLine="480" w:firstLineChars="200"/>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课程学分</w:t>
      </w:r>
      <w:r>
        <w:rPr>
          <w:rFonts w:ascii="宋体" w:hAnsi="宋体" w:eastAsia="宋体"/>
          <w:color w:val="000000"/>
          <w:spacing w:val="0"/>
          <w:kern w:val="2"/>
          <w:sz w:val="24"/>
          <w:szCs w:val="24"/>
        </w:rPr>
        <w:t>折算后原则上不得超过我校对应课程的学分，且</w:t>
      </w:r>
      <w:r>
        <w:rPr>
          <w:rFonts w:ascii="宋体" w:hAnsi="宋体" w:eastAsia="宋体"/>
          <w:color w:val="000000"/>
          <w:spacing w:val="0"/>
          <w:kern w:val="0"/>
          <w:sz w:val="24"/>
          <w:szCs w:val="24"/>
        </w:rPr>
        <w:t>每门课折算学分最多不超过5分。交流学生进行学分转换时，须提供真实有效的交流学校毕业要求总学分证明。</w:t>
      </w:r>
    </w:p>
    <w:p>
      <w:pPr>
        <w:numPr>
          <w:ilvl w:val="0"/>
          <w:numId w:val="1"/>
        </w:numPr>
        <w:snapToGrid w:val="0"/>
        <w:spacing w:before="0" w:after="156" w:line="312" w:lineRule="auto"/>
        <w:ind w:firstLine="480" w:firstLineChars="200"/>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课程模块按学分合计转换</w:t>
      </w:r>
      <w:r>
        <w:rPr>
          <w:rFonts w:hint="eastAsia" w:ascii="宋体" w:hAnsi="宋体" w:eastAsia="宋体"/>
          <w:color w:val="000000"/>
          <w:spacing w:val="0"/>
          <w:kern w:val="0"/>
          <w:sz w:val="24"/>
          <w:szCs w:val="24"/>
          <w:lang w:eastAsia="zh-CN"/>
        </w:rPr>
        <w:t>。</w:t>
      </w:r>
      <w:r>
        <w:rPr>
          <w:rFonts w:ascii="宋体" w:hAnsi="宋体" w:eastAsia="宋体"/>
          <w:color w:val="000000"/>
          <w:spacing w:val="0"/>
          <w:kern w:val="0"/>
          <w:sz w:val="24"/>
          <w:szCs w:val="24"/>
        </w:rPr>
        <w:t>必修类课程必须一一对应，按培养方案中的要求全部修读。选修类课程按上述方法折算后，学分合计达到培养方案中各课程模块要求的总学分即可，无需完全对应课程门数。</w:t>
      </w:r>
    </w:p>
    <w:p>
      <w:pPr>
        <w:numPr>
          <w:ilvl w:val="0"/>
          <w:numId w:val="1"/>
        </w:numPr>
        <w:snapToGrid w:val="0"/>
        <w:spacing w:before="0" w:after="156" w:line="312" w:lineRule="auto"/>
        <w:ind w:left="0" w:leftChars="0" w:firstLine="480" w:firstLineChars="200"/>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已经在我校获得学分的课程，如在交流学校重复修读，不可以进行学分转换。校内外所修总学分、自由选修课（含跨专业选修课）学分原则上不超过学生交流期间本专业教务处</w:t>
      </w:r>
      <w:r>
        <w:rPr>
          <w:rFonts w:hint="eastAsia" w:ascii="宋体" w:hAnsi="宋体" w:eastAsia="宋体"/>
          <w:color w:val="000000"/>
          <w:spacing w:val="0"/>
          <w:kern w:val="0"/>
          <w:sz w:val="24"/>
          <w:szCs w:val="24"/>
          <w:lang w:val="en-US" w:eastAsia="zh-CN"/>
        </w:rPr>
        <w:t>每学期选课通知</w:t>
      </w:r>
      <w:r>
        <w:rPr>
          <w:rFonts w:ascii="宋体" w:hAnsi="宋体" w:eastAsia="宋体"/>
          <w:color w:val="000000"/>
          <w:spacing w:val="0"/>
          <w:kern w:val="0"/>
          <w:sz w:val="24"/>
          <w:szCs w:val="24"/>
        </w:rPr>
        <w:t>规定的选课总学分上限，校内外所修各模块总学分原则上不超过学生交流期间本专业人才培养方案规定的各个课程模块的总学分上限。</w:t>
      </w:r>
    </w:p>
    <w:p>
      <w:pPr>
        <w:snapToGrid w:val="0"/>
        <w:spacing w:before="0" w:after="156" w:line="312" w:lineRule="auto"/>
        <w:ind w:firstLineChars="149"/>
        <w:jc w:val="left"/>
        <w:rPr>
          <w:rFonts w:ascii="宋体" w:hAnsi="宋体" w:eastAsia="宋体"/>
          <w:b/>
          <w:bCs/>
          <w:color w:val="000000"/>
          <w:spacing w:val="0"/>
          <w:kern w:val="0"/>
          <w:sz w:val="24"/>
          <w:szCs w:val="24"/>
        </w:rPr>
      </w:pPr>
      <w:r>
        <w:rPr>
          <w:rFonts w:ascii="宋体" w:hAnsi="宋体" w:eastAsia="宋体"/>
          <w:b/>
          <w:bCs/>
          <w:color w:val="000000"/>
          <w:spacing w:val="0"/>
          <w:kern w:val="0"/>
          <w:sz w:val="24"/>
          <w:szCs w:val="24"/>
        </w:rPr>
        <w:t>三、成绩认定</w:t>
      </w:r>
    </w:p>
    <w:p>
      <w:pPr>
        <w:snapToGrid w:val="0"/>
        <w:spacing w:before="0" w:after="156" w:line="312" w:lineRule="auto"/>
        <w:ind w:firstLineChars="149"/>
        <w:jc w:val="left"/>
        <w:rPr>
          <w:rFonts w:ascii="宋体" w:hAnsi="宋体" w:eastAsia="宋体"/>
          <w:color w:val="auto"/>
          <w:spacing w:val="0"/>
          <w:kern w:val="0"/>
          <w:sz w:val="24"/>
          <w:szCs w:val="24"/>
        </w:rPr>
      </w:pPr>
      <w:r>
        <w:rPr>
          <w:rFonts w:ascii="宋体" w:hAnsi="宋体" w:eastAsia="宋体"/>
          <w:color w:val="000000"/>
          <w:spacing w:val="0"/>
          <w:kern w:val="0"/>
          <w:sz w:val="24"/>
          <w:szCs w:val="24"/>
        </w:rPr>
        <w:t>1</w:t>
      </w:r>
      <w:r>
        <w:rPr>
          <w:rFonts w:hint="eastAsia" w:ascii="宋体" w:hAnsi="宋体" w:eastAsia="宋体"/>
          <w:color w:val="000000"/>
          <w:spacing w:val="0"/>
          <w:kern w:val="0"/>
          <w:sz w:val="24"/>
          <w:szCs w:val="24"/>
          <w:lang w:eastAsia="zh-CN"/>
        </w:rPr>
        <w:t>.</w:t>
      </w:r>
      <w:r>
        <w:rPr>
          <w:rFonts w:hint="eastAsia" w:ascii="宋体" w:hAnsi="宋体" w:eastAsia="宋体"/>
          <w:color w:val="000000"/>
          <w:spacing w:val="0"/>
          <w:kern w:val="0"/>
          <w:sz w:val="24"/>
          <w:szCs w:val="24"/>
          <w:lang w:val="en-US" w:eastAsia="zh-CN"/>
        </w:rPr>
        <w:t xml:space="preserve"> </w:t>
      </w:r>
      <w:r>
        <w:rPr>
          <w:rFonts w:ascii="宋体" w:hAnsi="宋体" w:eastAsia="宋体"/>
          <w:color w:val="auto"/>
          <w:spacing w:val="0"/>
          <w:kern w:val="0"/>
          <w:sz w:val="24"/>
          <w:szCs w:val="24"/>
        </w:rPr>
        <w:t>英国高校</w:t>
      </w:r>
    </w:p>
    <w:p>
      <w:pPr>
        <w:snapToGrid w:val="0"/>
        <w:spacing w:before="0" w:after="156" w:line="312" w:lineRule="auto"/>
        <w:ind w:firstLineChars="149"/>
        <w:jc w:val="left"/>
        <w:rPr>
          <w:rFonts w:hint="default" w:ascii="宋体" w:hAnsi="宋体" w:eastAsia="宋体"/>
          <w:color w:val="000000"/>
          <w:spacing w:val="0"/>
          <w:sz w:val="24"/>
          <w:szCs w:val="24"/>
          <w:lang w:val="en-US" w:eastAsia="zh-CN"/>
        </w:rPr>
      </w:pPr>
      <w:r>
        <w:rPr>
          <w:rFonts w:ascii="宋体" w:hAnsi="宋体" w:eastAsia="宋体"/>
          <w:color w:val="000000"/>
          <w:spacing w:val="0"/>
          <w:kern w:val="0"/>
          <w:sz w:val="24"/>
          <w:szCs w:val="24"/>
        </w:rPr>
        <w:t>交流学生在</w:t>
      </w:r>
      <w:r>
        <w:rPr>
          <w:rFonts w:hint="eastAsia" w:ascii="宋体" w:hAnsi="宋体" w:eastAsia="宋体"/>
          <w:color w:val="000000"/>
          <w:spacing w:val="0"/>
          <w:kern w:val="0"/>
          <w:sz w:val="24"/>
          <w:szCs w:val="24"/>
          <w:lang w:val="en-US" w:eastAsia="zh-CN"/>
        </w:rPr>
        <w:t>英国交流高校</w:t>
      </w:r>
      <w:r>
        <w:rPr>
          <w:rFonts w:ascii="宋体" w:hAnsi="宋体" w:eastAsia="宋体"/>
          <w:color w:val="000000"/>
          <w:spacing w:val="0"/>
          <w:kern w:val="0"/>
          <w:sz w:val="24"/>
          <w:szCs w:val="24"/>
        </w:rPr>
        <w:t>取得成绩后，</w:t>
      </w:r>
      <w:r>
        <w:rPr>
          <w:rFonts w:hint="eastAsia" w:ascii="宋体" w:hAnsi="宋体" w:eastAsia="宋体"/>
          <w:color w:val="000000"/>
          <w:spacing w:val="0"/>
          <w:kern w:val="0"/>
          <w:sz w:val="24"/>
          <w:szCs w:val="24"/>
          <w:lang w:val="en-US" w:eastAsia="zh-CN"/>
        </w:rPr>
        <w:t>应按照下表进行成绩转换。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75"/>
        <w:gridCol w:w="1125"/>
        <w:gridCol w:w="1125"/>
        <w:gridCol w:w="1275"/>
        <w:gridCol w:w="1005"/>
        <w:gridCol w:w="1125"/>
        <w:gridCol w:w="112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9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spacing w:val="0"/>
                <w:kern w:val="0"/>
                <w:sz w:val="20"/>
                <w:szCs w:val="20"/>
                <w:shd w:val="clear" w:color="auto" w:fill="auto"/>
              </w:rPr>
            </w:pPr>
            <w:r>
              <w:rPr>
                <w:rFonts w:ascii="宋体" w:hAnsi="宋体" w:eastAsia="宋体"/>
                <w:b/>
                <w:bCs/>
                <w:color w:val="000000"/>
                <w:spacing w:val="0"/>
                <w:kern w:val="0"/>
                <w:sz w:val="20"/>
                <w:szCs w:val="20"/>
                <w:shd w:val="clear" w:color="auto" w:fill="auto"/>
              </w:rPr>
              <w:t>英国成绩</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80-100</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70-80</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65-70</w:t>
            </w:r>
          </w:p>
        </w:tc>
        <w:tc>
          <w:tcPr>
            <w:tcW w:w="100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60-64</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50-59</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40–49</w:t>
            </w:r>
          </w:p>
        </w:tc>
        <w:tc>
          <w:tcPr>
            <w:tcW w:w="8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9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spacing w:val="0"/>
                <w:kern w:val="0"/>
                <w:sz w:val="20"/>
                <w:szCs w:val="20"/>
                <w:shd w:val="clear" w:color="auto" w:fill="auto"/>
              </w:rPr>
            </w:pPr>
            <w:r>
              <w:rPr>
                <w:rFonts w:ascii="宋体" w:hAnsi="宋体" w:eastAsia="宋体"/>
                <w:b/>
                <w:bCs/>
                <w:color w:val="000000"/>
                <w:spacing w:val="0"/>
                <w:kern w:val="0"/>
                <w:sz w:val="20"/>
                <w:szCs w:val="20"/>
                <w:shd w:val="clear" w:color="auto" w:fill="auto"/>
              </w:rPr>
              <w:t>转换后成绩</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95</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90</w:t>
            </w:r>
          </w:p>
        </w:tc>
        <w:tc>
          <w:tcPr>
            <w:tcW w:w="12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85</w:t>
            </w:r>
          </w:p>
        </w:tc>
        <w:tc>
          <w:tcPr>
            <w:tcW w:w="100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80</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75</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65</w:t>
            </w:r>
          </w:p>
        </w:tc>
        <w:tc>
          <w:tcPr>
            <w:tcW w:w="8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pacing w:val="0"/>
                <w:kern w:val="0"/>
                <w:sz w:val="20"/>
                <w:szCs w:val="20"/>
                <w:shd w:val="clear" w:color="auto" w:fill="auto"/>
              </w:rPr>
            </w:pPr>
            <w:r>
              <w:rPr>
                <w:rFonts w:ascii="宋体" w:hAnsi="宋体" w:eastAsia="宋体"/>
                <w:color w:val="000000"/>
                <w:spacing w:val="0"/>
                <w:kern w:val="0"/>
                <w:sz w:val="20"/>
                <w:szCs w:val="20"/>
                <w:shd w:val="clear" w:color="auto" w:fill="auto"/>
              </w:rPr>
              <w:t>F</w:t>
            </w:r>
          </w:p>
        </w:tc>
      </w:tr>
    </w:tbl>
    <w:p>
      <w:pPr>
        <w:snapToGrid w:val="0"/>
        <w:spacing w:before="0" w:after="156" w:line="312" w:lineRule="auto"/>
        <w:ind w:firstLineChars="149"/>
        <w:jc w:val="center"/>
        <w:rPr>
          <w:rFonts w:ascii="宋体" w:hAnsi="宋体" w:eastAsia="宋体"/>
          <w:color w:val="000000"/>
          <w:spacing w:val="0"/>
          <w:kern w:val="0"/>
          <w:sz w:val="24"/>
          <w:szCs w:val="24"/>
        </w:rPr>
      </w:pPr>
      <w:r>
        <w:rPr>
          <w:rFonts w:ascii="宋体" w:hAnsi="宋体" w:eastAsia="宋体"/>
          <w:color w:val="000000"/>
          <w:spacing w:val="0"/>
          <w:kern w:val="0"/>
          <w:sz w:val="24"/>
          <w:szCs w:val="24"/>
        </w:rPr>
        <w:t>表</w:t>
      </w:r>
      <w:r>
        <w:rPr>
          <w:rFonts w:hint="eastAsia" w:ascii="宋体" w:hAnsi="宋体" w:eastAsia="宋体"/>
          <w:color w:val="000000"/>
          <w:spacing w:val="0"/>
          <w:kern w:val="0"/>
          <w:sz w:val="24"/>
          <w:szCs w:val="24"/>
          <w:lang w:val="en-US" w:eastAsia="zh-CN"/>
        </w:rPr>
        <w:t>1 英国高校成绩</w:t>
      </w:r>
      <w:r>
        <w:rPr>
          <w:rFonts w:ascii="宋体" w:hAnsi="宋体" w:eastAsia="宋体"/>
          <w:color w:val="000000"/>
          <w:spacing w:val="0"/>
          <w:kern w:val="0"/>
          <w:sz w:val="24"/>
          <w:szCs w:val="24"/>
        </w:rPr>
        <w:t>转换标准</w:t>
      </w:r>
    </w:p>
    <w:p>
      <w:pPr>
        <w:snapToGrid w:val="0"/>
        <w:spacing w:before="0" w:after="156" w:line="312" w:lineRule="auto"/>
        <w:ind w:firstLineChars="149"/>
        <w:jc w:val="left"/>
        <w:rPr>
          <w:rFonts w:ascii="宋体" w:hAnsi="宋体" w:eastAsia="宋体"/>
          <w:color w:val="000000"/>
          <w:spacing w:val="0"/>
          <w:sz w:val="24"/>
          <w:szCs w:val="24"/>
          <w:shd w:val="clear" w:color="auto" w:fill="auto"/>
        </w:rPr>
      </w:pPr>
    </w:p>
    <w:p>
      <w:pPr>
        <w:numPr>
          <w:ilvl w:val="0"/>
          <w:numId w:val="2"/>
        </w:numPr>
        <w:snapToGrid w:val="0"/>
        <w:spacing w:before="0" w:after="156" w:line="312" w:lineRule="auto"/>
        <w:ind w:firstLine="357"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台湾地区高校</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交流学生在交流学校取得成绩后，除须按照《西南财经大学本科学生课程认定及学分转换办法》中提供的“等级制成绩换算表”中“A+”类原则进行学分转换外，我院在进行成绩认定时，按照以下</w:t>
      </w:r>
      <w:r>
        <w:rPr>
          <w:rFonts w:ascii="宋体" w:hAnsi="宋体" w:eastAsia="宋体"/>
          <w:color w:val="000000"/>
          <w:spacing w:val="0"/>
          <w:sz w:val="24"/>
          <w:szCs w:val="24"/>
        </w:rPr>
        <w:t>标准</w:t>
      </w:r>
      <w:r>
        <w:rPr>
          <w:rFonts w:ascii="宋体" w:hAnsi="宋体" w:eastAsia="宋体"/>
          <w:color w:val="000000"/>
          <w:spacing w:val="0"/>
          <w:kern w:val="0"/>
          <w:sz w:val="24"/>
          <w:szCs w:val="24"/>
        </w:rPr>
        <w:t>执行：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3285"/>
        <w:gridCol w:w="2835"/>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32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pacing w:val="0"/>
                <w:kern w:val="0"/>
                <w:sz w:val="24"/>
                <w:szCs w:val="24"/>
              </w:rPr>
            </w:pPr>
          </w:p>
          <w:p>
            <w:pPr>
              <w:snapToGrid w:val="0"/>
              <w:spacing w:before="0" w:after="0" w:line="240" w:lineRule="auto"/>
              <w:ind w:firstLineChars="149"/>
              <w:jc w:val="center"/>
              <w:rPr>
                <w:rFonts w:ascii="宋体" w:hAnsi="宋体" w:eastAsia="宋体"/>
                <w:color w:val="000000"/>
                <w:spacing w:val="0"/>
                <w:sz w:val="24"/>
                <w:szCs w:val="24"/>
              </w:rPr>
            </w:pPr>
          </w:p>
          <w:p>
            <w:pPr>
              <w:snapToGrid w:val="0"/>
              <w:spacing w:before="0" w:after="0" w:line="240" w:lineRule="auto"/>
              <w:ind w:firstLineChars="149"/>
              <w:jc w:val="center"/>
              <w:rPr>
                <w:rFonts w:ascii="宋体" w:hAnsi="宋体" w:eastAsia="宋体"/>
                <w:b/>
                <w:bCs/>
                <w:color w:val="000000"/>
                <w:spacing w:val="0"/>
                <w:kern w:val="2"/>
                <w:sz w:val="24"/>
                <w:szCs w:val="24"/>
              </w:rPr>
            </w:pPr>
            <w:r>
              <w:rPr>
                <w:rFonts w:ascii="宋体" w:hAnsi="宋体" w:eastAsia="宋体"/>
                <w:b/>
                <w:bCs/>
                <w:color w:val="000000"/>
                <w:spacing w:val="0"/>
                <w:kern w:val="2"/>
                <w:sz w:val="24"/>
                <w:szCs w:val="24"/>
              </w:rPr>
              <w:t>交流前专业排名</w:t>
            </w:r>
          </w:p>
        </w:tc>
        <w:tc>
          <w:tcPr>
            <w:tcW w:w="28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b/>
                <w:bCs/>
                <w:color w:val="000000"/>
                <w:spacing w:val="0"/>
                <w:kern w:val="2"/>
                <w:sz w:val="24"/>
                <w:szCs w:val="24"/>
              </w:rPr>
            </w:pPr>
            <w:r>
              <w:rPr>
                <w:rFonts w:ascii="宋体" w:hAnsi="宋体" w:eastAsia="宋体"/>
                <w:b/>
                <w:bCs/>
                <w:color w:val="000000"/>
                <w:spacing w:val="0"/>
                <w:kern w:val="2"/>
                <w:sz w:val="24"/>
                <w:szCs w:val="24"/>
              </w:rPr>
              <w:t>可转换“A+”课程</w:t>
            </w:r>
          </w:p>
        </w:tc>
        <w:tc>
          <w:tcPr>
            <w:tcW w:w="325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156" w:line="240" w:lineRule="auto"/>
              <w:ind w:firstLineChars="149"/>
              <w:jc w:val="center"/>
              <w:rPr>
                <w:rFonts w:ascii="宋体" w:hAnsi="宋体" w:eastAsia="宋体"/>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32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color w:val="000000"/>
                <w:spacing w:val="0"/>
                <w:kern w:val="2"/>
                <w:sz w:val="24"/>
                <w:szCs w:val="24"/>
              </w:rPr>
            </w:pPr>
            <w:r>
              <w:rPr>
                <w:rFonts w:ascii="宋体" w:hAnsi="宋体" w:eastAsia="宋体"/>
                <w:color w:val="000000"/>
                <w:spacing w:val="0"/>
                <w:kern w:val="2"/>
                <w:sz w:val="24"/>
                <w:szCs w:val="24"/>
              </w:rPr>
              <w:t>前10%（含）</w:t>
            </w:r>
          </w:p>
        </w:tc>
        <w:tc>
          <w:tcPr>
            <w:tcW w:w="28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color w:val="000000"/>
                <w:spacing w:val="0"/>
                <w:kern w:val="2"/>
                <w:sz w:val="24"/>
                <w:szCs w:val="24"/>
              </w:rPr>
            </w:pPr>
            <w:r>
              <w:rPr>
                <w:rFonts w:ascii="宋体" w:hAnsi="宋体" w:eastAsia="宋体"/>
                <w:color w:val="000000"/>
                <w:spacing w:val="0"/>
                <w:kern w:val="2"/>
                <w:sz w:val="24"/>
                <w:szCs w:val="24"/>
              </w:rPr>
              <w:t>不超过4门</w:t>
            </w:r>
          </w:p>
        </w:tc>
        <w:tc>
          <w:tcPr>
            <w:tcW w:w="325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color w:val="000000"/>
                <w:spacing w:val="0"/>
                <w:kern w:val="2"/>
                <w:sz w:val="24"/>
                <w:szCs w:val="24"/>
              </w:rPr>
            </w:pPr>
            <w:r>
              <w:rPr>
                <w:rFonts w:ascii="宋体" w:hAnsi="宋体" w:eastAsia="宋体"/>
                <w:color w:val="000000"/>
                <w:spacing w:val="0"/>
                <w:kern w:val="2"/>
                <w:sz w:val="24"/>
                <w:szCs w:val="24"/>
              </w:rPr>
              <w:t>其余“A+”课程均认定为“A”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32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color w:val="000000"/>
                <w:spacing w:val="0"/>
                <w:kern w:val="2"/>
                <w:sz w:val="24"/>
                <w:szCs w:val="24"/>
              </w:rPr>
            </w:pPr>
            <w:r>
              <w:rPr>
                <w:rFonts w:ascii="宋体" w:hAnsi="宋体" w:eastAsia="宋体"/>
                <w:color w:val="000000"/>
                <w:spacing w:val="0"/>
                <w:kern w:val="2"/>
                <w:sz w:val="24"/>
                <w:szCs w:val="24"/>
              </w:rPr>
              <w:t>前10%（不含）-30%（含）</w:t>
            </w:r>
          </w:p>
        </w:tc>
        <w:tc>
          <w:tcPr>
            <w:tcW w:w="28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color w:val="000000"/>
                <w:spacing w:val="0"/>
                <w:kern w:val="2"/>
                <w:sz w:val="24"/>
                <w:szCs w:val="24"/>
              </w:rPr>
            </w:pPr>
            <w:r>
              <w:rPr>
                <w:rFonts w:ascii="宋体" w:hAnsi="宋体" w:eastAsia="宋体"/>
                <w:color w:val="000000"/>
                <w:spacing w:val="0"/>
                <w:kern w:val="2"/>
                <w:sz w:val="24"/>
                <w:szCs w:val="24"/>
              </w:rPr>
              <w:t>不超过3门</w:t>
            </w:r>
          </w:p>
        </w:tc>
        <w:tc>
          <w:tcPr>
            <w:tcW w:w="325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156" w:line="240" w:lineRule="auto"/>
              <w:ind w:firstLineChars="149"/>
              <w:jc w:val="center"/>
              <w:rPr>
                <w:rFonts w:ascii="宋体" w:hAnsi="宋体" w:eastAsia="宋体"/>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32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color w:val="000000"/>
                <w:spacing w:val="0"/>
                <w:kern w:val="2"/>
                <w:sz w:val="24"/>
                <w:szCs w:val="24"/>
              </w:rPr>
            </w:pPr>
            <w:r>
              <w:rPr>
                <w:rFonts w:ascii="宋体" w:hAnsi="宋体" w:eastAsia="宋体"/>
                <w:color w:val="000000"/>
                <w:spacing w:val="0"/>
                <w:kern w:val="2"/>
                <w:sz w:val="24"/>
                <w:szCs w:val="24"/>
              </w:rPr>
              <w:t>前30%（不含）以后</w:t>
            </w:r>
          </w:p>
        </w:tc>
        <w:tc>
          <w:tcPr>
            <w:tcW w:w="283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firstLineChars="149"/>
              <w:jc w:val="center"/>
              <w:rPr>
                <w:rFonts w:ascii="宋体" w:hAnsi="宋体" w:eastAsia="宋体"/>
                <w:color w:val="000000"/>
                <w:spacing w:val="0"/>
                <w:kern w:val="2"/>
                <w:sz w:val="24"/>
                <w:szCs w:val="24"/>
              </w:rPr>
            </w:pPr>
            <w:r>
              <w:rPr>
                <w:rFonts w:ascii="宋体" w:hAnsi="宋体" w:eastAsia="宋体"/>
                <w:color w:val="000000"/>
                <w:spacing w:val="0"/>
                <w:kern w:val="2"/>
                <w:sz w:val="24"/>
                <w:szCs w:val="24"/>
              </w:rPr>
              <w:t>不超过2门</w:t>
            </w:r>
          </w:p>
        </w:tc>
        <w:tc>
          <w:tcPr>
            <w:tcW w:w="325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156" w:line="240" w:lineRule="auto"/>
              <w:ind w:firstLineChars="149"/>
              <w:jc w:val="center"/>
              <w:rPr>
                <w:rFonts w:ascii="宋体" w:hAnsi="宋体" w:eastAsia="宋体"/>
                <w:color w:val="000000"/>
                <w:spacing w:val="0"/>
                <w:sz w:val="24"/>
                <w:szCs w:val="24"/>
              </w:rPr>
            </w:pPr>
          </w:p>
        </w:tc>
      </w:tr>
    </w:tbl>
    <w:p>
      <w:pPr>
        <w:snapToGrid w:val="0"/>
        <w:spacing w:before="0" w:after="156" w:line="312" w:lineRule="auto"/>
        <w:ind w:firstLineChars="200"/>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举例说明：会计学（双语实验班）总人数100人，学生进行交流前的加权平均成绩排名为第10名，在交流学校取得的成绩为：“A+”5门，“A”1门，“A-”1门。则成绩认定时，4门“A+”的课程转为95分，剩余1门 “A+”的课程则可认定为“A”，92分；其余课程则如实对应转换。</w:t>
      </w:r>
    </w:p>
    <w:p>
      <w:pPr>
        <w:numPr>
          <w:ilvl w:val="0"/>
          <w:numId w:val="2"/>
        </w:numPr>
        <w:snapToGrid w:val="0"/>
        <w:spacing w:before="0" w:after="156" w:line="312" w:lineRule="auto"/>
        <w:ind w:left="0" w:leftChars="0" w:firstLine="357"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其它国家地区高校</w:t>
      </w:r>
    </w:p>
    <w:p>
      <w:pPr>
        <w:snapToGrid w:val="0"/>
        <w:spacing w:before="0" w:after="156" w:line="312" w:lineRule="auto"/>
        <w:ind w:firstLineChars="200"/>
        <w:jc w:val="left"/>
        <w:rPr>
          <w:rFonts w:hint="eastAsia" w:ascii="宋体" w:hAnsi="宋体" w:eastAsia="宋体"/>
          <w:color w:val="000000"/>
          <w:spacing w:val="0"/>
          <w:kern w:val="0"/>
          <w:sz w:val="24"/>
          <w:szCs w:val="24"/>
          <w:lang w:eastAsia="zh-CN"/>
        </w:rPr>
      </w:pPr>
      <w:r>
        <w:rPr>
          <w:rFonts w:ascii="宋体" w:hAnsi="宋体" w:eastAsia="宋体"/>
          <w:color w:val="000000"/>
          <w:spacing w:val="0"/>
          <w:kern w:val="0"/>
          <w:sz w:val="24"/>
          <w:szCs w:val="24"/>
        </w:rPr>
        <w:t>按照《西南财经大学本科交流学生课程认定及学分转换办法》执行</w:t>
      </w:r>
      <w:r>
        <w:rPr>
          <w:rFonts w:hint="eastAsia" w:ascii="宋体" w:hAnsi="宋体" w:eastAsia="宋体"/>
          <w:color w:val="000000"/>
          <w:spacing w:val="0"/>
          <w:kern w:val="0"/>
          <w:sz w:val="24"/>
          <w:szCs w:val="24"/>
          <w:lang w:eastAsia="zh-CN"/>
        </w:rPr>
        <w:t>。</w:t>
      </w:r>
    </w:p>
    <w:p>
      <w:pPr>
        <w:numPr>
          <w:ilvl w:val="0"/>
          <w:numId w:val="2"/>
        </w:numPr>
        <w:snapToGrid w:val="0"/>
        <w:spacing w:before="0" w:after="156" w:line="312" w:lineRule="auto"/>
        <w:ind w:left="0" w:leftChars="0" w:firstLine="357" w:firstLineChars="149"/>
        <w:jc w:val="left"/>
        <w:rPr>
          <w:rFonts w:hint="default" w:ascii="宋体" w:hAnsi="宋体" w:eastAsia="宋体"/>
          <w:color w:val="auto"/>
          <w:spacing w:val="0"/>
          <w:kern w:val="0"/>
          <w:sz w:val="24"/>
          <w:szCs w:val="24"/>
          <w:lang w:val="en-US" w:eastAsia="zh-CN"/>
        </w:rPr>
      </w:pPr>
      <w:r>
        <w:rPr>
          <w:rFonts w:ascii="宋体" w:hAnsi="宋体" w:eastAsia="宋体"/>
          <w:color w:val="auto"/>
          <w:spacing w:val="0"/>
          <w:kern w:val="0"/>
          <w:sz w:val="24"/>
          <w:szCs w:val="24"/>
        </w:rPr>
        <w:t>除上述要求外，我院在转换成绩时按以下规定执行：</w:t>
      </w:r>
    </w:p>
    <w:p>
      <w:pPr>
        <w:snapToGrid w:val="0"/>
        <w:spacing w:before="0" w:after="156" w:line="312" w:lineRule="auto"/>
        <w:ind w:firstLineChars="200"/>
        <w:jc w:val="left"/>
        <w:rPr>
          <w:rFonts w:ascii="宋体" w:hAnsi="宋体" w:eastAsia="宋体"/>
          <w:color w:val="auto"/>
          <w:spacing w:val="0"/>
          <w:kern w:val="0"/>
          <w:sz w:val="24"/>
          <w:szCs w:val="24"/>
        </w:rPr>
      </w:pPr>
      <w:r>
        <w:rPr>
          <w:rFonts w:ascii="宋体" w:hAnsi="宋体" w:eastAsia="宋体"/>
          <w:color w:val="auto"/>
          <w:spacing w:val="0"/>
          <w:kern w:val="0"/>
          <w:sz w:val="24"/>
          <w:szCs w:val="24"/>
        </w:rPr>
        <w:t>赴全球QS排名前100名高校或专业的交换生，返校成绩按照在外校获得成绩比例1:1.1换算，且最高不超过95分；</w:t>
      </w:r>
    </w:p>
    <w:p>
      <w:pPr>
        <w:snapToGrid w:val="0"/>
        <w:spacing w:before="0" w:after="156" w:line="312" w:lineRule="auto"/>
        <w:ind w:firstLineChars="200"/>
        <w:jc w:val="left"/>
        <w:rPr>
          <w:rFonts w:ascii="宋体" w:hAnsi="宋体" w:eastAsia="宋体"/>
          <w:color w:val="auto"/>
          <w:spacing w:val="0"/>
          <w:kern w:val="0"/>
          <w:sz w:val="24"/>
          <w:szCs w:val="24"/>
        </w:rPr>
      </w:pPr>
      <w:r>
        <w:rPr>
          <w:rFonts w:ascii="宋体" w:hAnsi="宋体" w:eastAsia="宋体"/>
          <w:color w:val="auto"/>
          <w:spacing w:val="0"/>
          <w:kern w:val="0"/>
          <w:sz w:val="24"/>
          <w:szCs w:val="24"/>
        </w:rPr>
        <w:t>赴全球QS排名101-600名高校或专业的交换生，返校成绩按照在外校获得成绩比例1:1如实登录，且最高不超过95分；</w:t>
      </w:r>
    </w:p>
    <w:p>
      <w:pPr>
        <w:snapToGrid w:val="0"/>
        <w:spacing w:before="0" w:after="156" w:line="312" w:lineRule="auto"/>
        <w:ind w:firstLineChars="200"/>
        <w:jc w:val="left"/>
        <w:rPr>
          <w:rFonts w:ascii="宋体" w:hAnsi="宋体" w:eastAsia="宋体"/>
          <w:color w:val="auto"/>
          <w:spacing w:val="0"/>
          <w:kern w:val="0"/>
          <w:sz w:val="24"/>
          <w:szCs w:val="24"/>
        </w:rPr>
      </w:pPr>
      <w:r>
        <w:rPr>
          <w:rFonts w:ascii="宋体" w:hAnsi="宋体" w:eastAsia="宋体"/>
          <w:color w:val="auto"/>
          <w:spacing w:val="0"/>
          <w:kern w:val="0"/>
          <w:sz w:val="24"/>
          <w:szCs w:val="24"/>
        </w:rPr>
        <w:t>赴全球QS排名600名之外高校或专业的交换生，返校成绩按照在外校获得成绩比例1:0.9换算。</w:t>
      </w:r>
    </w:p>
    <w:p>
      <w:pPr>
        <w:snapToGrid w:val="0"/>
        <w:spacing w:before="0" w:after="156" w:line="312" w:lineRule="auto"/>
        <w:ind w:firstLineChars="200"/>
        <w:jc w:val="left"/>
        <w:rPr>
          <w:rFonts w:ascii="宋体" w:hAnsi="宋体" w:eastAsia="宋体"/>
          <w:color w:val="000000"/>
          <w:spacing w:val="0"/>
          <w:sz w:val="24"/>
          <w:szCs w:val="24"/>
        </w:rPr>
      </w:pPr>
    </w:p>
    <w:p>
      <w:pPr>
        <w:snapToGrid w:val="0"/>
        <w:spacing w:before="0" w:after="156" w:line="312" w:lineRule="auto"/>
        <w:ind w:firstLineChars="149"/>
        <w:jc w:val="left"/>
        <w:rPr>
          <w:rFonts w:ascii="宋体" w:hAnsi="宋体" w:eastAsia="宋体"/>
          <w:b/>
          <w:bCs/>
          <w:color w:val="000000"/>
          <w:spacing w:val="0"/>
          <w:kern w:val="0"/>
          <w:sz w:val="24"/>
          <w:szCs w:val="24"/>
        </w:rPr>
      </w:pPr>
      <w:r>
        <w:rPr>
          <w:rFonts w:ascii="宋体" w:hAnsi="宋体" w:eastAsia="宋体"/>
          <w:b/>
          <w:bCs/>
          <w:color w:val="000000"/>
          <w:spacing w:val="0"/>
          <w:kern w:val="0"/>
          <w:sz w:val="24"/>
          <w:szCs w:val="24"/>
        </w:rPr>
        <w:t>四、办理流程</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1</w:t>
      </w:r>
      <w:r>
        <w:rPr>
          <w:rFonts w:hint="eastAsia" w:ascii="宋体" w:hAnsi="宋体" w:eastAsia="宋体"/>
          <w:color w:val="000000"/>
          <w:spacing w:val="0"/>
          <w:kern w:val="0"/>
          <w:sz w:val="24"/>
          <w:szCs w:val="24"/>
          <w:lang w:eastAsia="zh-CN"/>
        </w:rPr>
        <w:t>.</w:t>
      </w:r>
      <w:r>
        <w:rPr>
          <w:rFonts w:hint="eastAsia" w:ascii="宋体" w:hAnsi="宋体" w:eastAsia="宋体"/>
          <w:color w:val="000000"/>
          <w:spacing w:val="0"/>
          <w:kern w:val="0"/>
          <w:sz w:val="24"/>
          <w:szCs w:val="24"/>
          <w:lang w:val="en-US" w:eastAsia="zh-CN"/>
        </w:rPr>
        <w:t xml:space="preserve"> </w:t>
      </w:r>
      <w:r>
        <w:rPr>
          <w:rFonts w:ascii="宋体" w:hAnsi="宋体" w:eastAsia="宋体"/>
          <w:color w:val="000000"/>
          <w:spacing w:val="0"/>
          <w:kern w:val="0"/>
          <w:sz w:val="24"/>
          <w:szCs w:val="24"/>
        </w:rPr>
        <w:t>系统申请</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（一）学生交流期满返校后在交流生管理系统（http://jhs.swufe.edu.cn）填写交流学习返校申请，返校申请通过后方可申请学分认定。</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二）学生在交流生管理系统（http://jhs.swufe.edu.cn）填写课程认定及学分转换信息，确定学分转换比例，并上传交流项目承办单位公章的交流学校正式成绩单原件及相关证明材料，转换课程的学时、学分及成绩请参考各自专业的培养方案和《西南财经大学本科交流学生课程认定及学分转换办法》《西南财经大学会计学院本科交流学生课程认定及学分转换指导办法》。</w:t>
      </w:r>
    </w:p>
    <w:p>
      <w:pPr>
        <w:snapToGrid w:val="0"/>
        <w:spacing w:before="0" w:after="156" w:line="312" w:lineRule="auto"/>
        <w:ind w:firstLineChars="149"/>
        <w:jc w:val="left"/>
        <w:rPr>
          <w:rFonts w:ascii="宋体" w:hAnsi="宋体" w:eastAsia="宋体"/>
          <w:color w:val="000000"/>
          <w:spacing w:val="0"/>
          <w:kern w:val="0"/>
          <w:sz w:val="24"/>
          <w:szCs w:val="24"/>
        </w:rPr>
      </w:pPr>
      <w:r>
        <w:rPr>
          <w:rFonts w:hint="eastAsia" w:ascii="宋体" w:hAnsi="宋体" w:eastAsia="宋体"/>
          <w:color w:val="000000"/>
          <w:spacing w:val="0"/>
          <w:kern w:val="0"/>
          <w:sz w:val="24"/>
          <w:szCs w:val="24"/>
          <w:lang w:val="en-US" w:eastAsia="zh-CN"/>
        </w:rPr>
        <w:t xml:space="preserve">2. </w:t>
      </w:r>
      <w:r>
        <w:rPr>
          <w:rFonts w:ascii="宋体" w:hAnsi="宋体" w:eastAsia="宋体"/>
          <w:color w:val="000000"/>
          <w:spacing w:val="0"/>
          <w:kern w:val="0"/>
          <w:sz w:val="24"/>
          <w:szCs w:val="24"/>
        </w:rPr>
        <w:t>材料审核</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（一）交流学校成绩单原件。交流学生须提交加盖了交流项目承办单位公章的交流学校正式成绩单原件。</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二）《西南财经大学会计学院本科交流学生修读认定表》。交流学生如需认定课程名称与我校有差异的必修类课程或准出课程，须提交由开课学院课程组老师签字并加盖公章的《会计学院本科交流学生修读认定表》原件。</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（三）以上材料提交到交流生管理系统（http://jhs.swufe.edu.cn）后，须线下向本科教学管理办公室提交原件以审核材料真实性。如未提供材料或材料不符合相关要求规范，本科教学管理办公室将不予处理。</w:t>
      </w:r>
    </w:p>
    <w:p>
      <w:pPr>
        <w:snapToGrid w:val="0"/>
        <w:spacing w:before="0" w:after="156" w:line="312" w:lineRule="auto"/>
        <w:ind w:firstLine="240" w:firstLineChars="100"/>
        <w:jc w:val="left"/>
        <w:rPr>
          <w:rFonts w:ascii="宋体" w:hAnsi="宋体" w:eastAsia="宋体"/>
          <w:color w:val="000000"/>
          <w:spacing w:val="0"/>
          <w:kern w:val="0"/>
          <w:sz w:val="24"/>
          <w:szCs w:val="24"/>
        </w:rPr>
      </w:pPr>
      <w:r>
        <w:rPr>
          <w:rFonts w:hint="eastAsia" w:ascii="宋体" w:hAnsi="宋体" w:eastAsia="宋体"/>
          <w:color w:val="000000"/>
          <w:spacing w:val="0"/>
          <w:kern w:val="0"/>
          <w:sz w:val="24"/>
          <w:szCs w:val="24"/>
          <w:lang w:val="en-US" w:eastAsia="zh-CN"/>
        </w:rPr>
        <w:t xml:space="preserve">3. </w:t>
      </w:r>
      <w:r>
        <w:rPr>
          <w:rFonts w:ascii="宋体" w:hAnsi="宋体" w:eastAsia="宋体"/>
          <w:color w:val="000000"/>
          <w:spacing w:val="0"/>
          <w:kern w:val="0"/>
          <w:sz w:val="24"/>
          <w:szCs w:val="24"/>
        </w:rPr>
        <w:t>课程补修</w:t>
      </w:r>
    </w:p>
    <w:p>
      <w:pPr>
        <w:snapToGrid w:val="0"/>
        <w:spacing w:before="0" w:after="156" w:line="312" w:lineRule="auto"/>
        <w:ind w:firstLineChars="149"/>
        <w:jc w:val="left"/>
        <w:rPr>
          <w:rFonts w:ascii="宋体" w:hAnsi="宋体" w:eastAsia="宋体"/>
          <w:color w:val="000000"/>
          <w:spacing w:val="0"/>
          <w:kern w:val="0"/>
          <w:sz w:val="24"/>
          <w:szCs w:val="24"/>
        </w:rPr>
      </w:pPr>
      <w:r>
        <w:rPr>
          <w:rFonts w:ascii="宋体" w:hAnsi="宋体" w:eastAsia="宋体"/>
          <w:color w:val="000000"/>
          <w:spacing w:val="0"/>
          <w:kern w:val="0"/>
          <w:sz w:val="24"/>
          <w:szCs w:val="24"/>
        </w:rPr>
        <w:t>如交流学生完成课程认定及成绩转换后仍需补修课程，则该生应于新学期开学后第一周或第二周注册本专</w:t>
      </w:r>
      <w:bookmarkStart w:id="0" w:name="_GoBack"/>
      <w:bookmarkEnd w:id="0"/>
      <w:r>
        <w:rPr>
          <w:rFonts w:ascii="宋体" w:hAnsi="宋体" w:eastAsia="宋体"/>
          <w:color w:val="000000"/>
          <w:spacing w:val="0"/>
          <w:kern w:val="0"/>
          <w:sz w:val="24"/>
          <w:szCs w:val="24"/>
        </w:rPr>
        <w:t>业课程或通过跨专业选课补修课程。</w:t>
      </w:r>
    </w:p>
    <w:p>
      <w:pPr>
        <w:snapToGrid w:val="0"/>
        <w:spacing w:before="0" w:after="156" w:line="312" w:lineRule="auto"/>
        <w:ind w:firstLine="240" w:firstLineChars="100"/>
        <w:jc w:val="left"/>
        <w:rPr>
          <w:rFonts w:ascii="宋体" w:hAnsi="宋体" w:eastAsia="宋体"/>
          <w:color w:val="000000"/>
          <w:spacing w:val="0"/>
          <w:kern w:val="0"/>
          <w:sz w:val="24"/>
          <w:szCs w:val="24"/>
        </w:rPr>
      </w:pPr>
      <w:r>
        <w:rPr>
          <w:rFonts w:hint="eastAsia" w:ascii="宋体" w:hAnsi="宋体" w:eastAsia="宋体"/>
          <w:color w:val="000000"/>
          <w:spacing w:val="0"/>
          <w:kern w:val="0"/>
          <w:sz w:val="24"/>
          <w:szCs w:val="24"/>
          <w:lang w:val="en-US" w:eastAsia="zh-CN"/>
        </w:rPr>
        <w:t xml:space="preserve">4. </w:t>
      </w:r>
      <w:r>
        <w:rPr>
          <w:rFonts w:ascii="宋体" w:hAnsi="宋体" w:eastAsia="宋体"/>
          <w:color w:val="000000"/>
          <w:spacing w:val="0"/>
          <w:kern w:val="0"/>
          <w:sz w:val="24"/>
          <w:szCs w:val="24"/>
        </w:rPr>
        <w:t>本指导办法自颁布之日起实施，由西南财经大学会计学院负责解释。</w:t>
      </w:r>
    </w:p>
    <w:p>
      <w:pPr>
        <w:snapToGrid w:val="0"/>
        <w:spacing w:before="0" w:after="156" w:line="312" w:lineRule="auto"/>
        <w:ind w:firstLineChars="149"/>
        <w:jc w:val="left"/>
        <w:rPr>
          <w:rFonts w:ascii="宋体" w:hAnsi="宋体" w:eastAsia="宋体"/>
          <w:color w:val="000000"/>
          <w:spacing w:val="0"/>
          <w:sz w:val="24"/>
          <w:szCs w:val="24"/>
        </w:rPr>
      </w:pPr>
    </w:p>
    <w:p>
      <w:pPr>
        <w:snapToGrid w:val="0"/>
        <w:spacing w:before="0" w:after="156" w:line="312" w:lineRule="auto"/>
        <w:ind w:firstLineChars="149"/>
        <w:jc w:val="left"/>
        <w:rPr>
          <w:rFonts w:ascii="宋体" w:hAnsi="宋体" w:eastAsia="宋体"/>
          <w:color w:val="000000"/>
          <w:spacing w:val="0"/>
          <w:sz w:val="24"/>
          <w:szCs w:val="24"/>
        </w:rPr>
      </w:pPr>
    </w:p>
    <w:p>
      <w:pPr>
        <w:snapToGrid w:val="0"/>
        <w:spacing w:before="0" w:after="156" w:line="312" w:lineRule="auto"/>
        <w:ind w:firstLineChars="149"/>
        <w:jc w:val="right"/>
        <w:rPr>
          <w:rFonts w:ascii="宋体" w:hAnsi="宋体" w:eastAsia="宋体"/>
          <w:color w:val="000000"/>
          <w:spacing w:val="0"/>
          <w:kern w:val="0"/>
          <w:sz w:val="24"/>
          <w:szCs w:val="24"/>
        </w:rPr>
      </w:pPr>
      <w:r>
        <w:rPr>
          <w:rFonts w:ascii="宋体" w:hAnsi="宋体" w:eastAsia="宋体"/>
          <w:color w:val="000000"/>
          <w:spacing w:val="0"/>
          <w:kern w:val="0"/>
          <w:sz w:val="24"/>
          <w:szCs w:val="24"/>
        </w:rPr>
        <w:t>西南财经大学会计学院</w:t>
      </w:r>
    </w:p>
    <w:p>
      <w:pPr>
        <w:snapToGrid w:val="0"/>
        <w:spacing w:before="0" w:after="156" w:line="312" w:lineRule="auto"/>
        <w:ind w:firstLineChars="149"/>
        <w:jc w:val="right"/>
        <w:rPr>
          <w:rFonts w:ascii="宋体" w:hAnsi="宋体" w:eastAsia="宋体"/>
          <w:color w:val="333333"/>
          <w:spacing w:val="0"/>
          <w:kern w:val="0"/>
          <w:sz w:val="24"/>
          <w:szCs w:val="24"/>
        </w:rPr>
      </w:pPr>
      <w:r>
        <w:rPr>
          <w:rFonts w:ascii="宋体" w:hAnsi="宋体" w:eastAsia="宋体"/>
          <w:color w:val="000000"/>
          <w:spacing w:val="0"/>
          <w:kern w:val="0"/>
          <w:sz w:val="24"/>
          <w:szCs w:val="24"/>
        </w:rPr>
        <w:t>2022年</w:t>
      </w:r>
      <w:r>
        <w:rPr>
          <w:rFonts w:hint="eastAsia" w:ascii="宋体" w:hAnsi="宋体" w:eastAsia="宋体"/>
          <w:color w:val="000000"/>
          <w:spacing w:val="0"/>
          <w:kern w:val="0"/>
          <w:sz w:val="24"/>
          <w:szCs w:val="24"/>
          <w:lang w:val="en-US" w:eastAsia="zh-CN"/>
        </w:rPr>
        <w:t>6</w:t>
      </w:r>
      <w:r>
        <w:rPr>
          <w:rFonts w:ascii="宋体" w:hAnsi="宋体" w:eastAsia="宋体"/>
          <w:color w:val="000000"/>
          <w:spacing w:val="0"/>
          <w:kern w:val="0"/>
          <w:sz w:val="24"/>
          <w:szCs w:val="24"/>
        </w:rPr>
        <w:t>月</w:t>
      </w:r>
      <w:r>
        <w:rPr>
          <w:rFonts w:hint="eastAsia" w:ascii="宋体" w:hAnsi="宋体" w:eastAsia="宋体"/>
          <w:color w:val="000000"/>
          <w:spacing w:val="0"/>
          <w:kern w:val="0"/>
          <w:sz w:val="24"/>
          <w:szCs w:val="24"/>
          <w:lang w:val="en-US" w:eastAsia="zh-CN"/>
        </w:rPr>
        <w:t>1</w:t>
      </w:r>
      <w:r>
        <w:rPr>
          <w:rFonts w:ascii="宋体" w:hAnsi="宋体" w:eastAsia="宋体"/>
          <w:color w:val="333333"/>
          <w:spacing w:val="0"/>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86A86"/>
    <w:multiLevelType w:val="singleLevel"/>
    <w:tmpl w:val="C4A86A86"/>
    <w:lvl w:ilvl="0" w:tentative="0">
      <w:start w:val="2"/>
      <w:numFmt w:val="decimal"/>
      <w:suff w:val="space"/>
      <w:lvlText w:val="%1."/>
      <w:lvlJc w:val="left"/>
    </w:lvl>
  </w:abstractNum>
  <w:abstractNum w:abstractNumId="1">
    <w:nsid w:val="242401CD"/>
    <w:multiLevelType w:val="singleLevel"/>
    <w:tmpl w:val="242401CD"/>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hNjc1ODFiYzYwOWQyYmI2ZjkyNjI1OGViODJiMmYifQ=="/>
  </w:docVars>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38A50319"/>
    <w:rsid w:val="3A845AB0"/>
    <w:rsid w:val="3CC61A54"/>
    <w:rsid w:val="434067C1"/>
    <w:rsid w:val="4428706B"/>
    <w:rsid w:val="568D20C3"/>
    <w:rsid w:val="68A2542F"/>
    <w:rsid w:val="6EAF13B0"/>
    <w:rsid w:val="71061E72"/>
    <w:rsid w:val="7220216C"/>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2282</Words>
  <Characters>2458</Characters>
  <Lines>1</Lines>
  <Paragraphs>1</Paragraphs>
  <TotalTime>22</TotalTime>
  <ScaleCrop>false</ScaleCrop>
  <LinksUpToDate>false</LinksUpToDate>
  <CharactersWithSpaces>2470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王夢樂</cp:lastModifiedBy>
  <dcterms:modified xsi:type="dcterms:W3CDTF">2022-06-01T07:47:17Z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63032E5E90D64739A7F6429614DA427D</vt:lpwstr>
  </property>
</Properties>
</file>