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C0333" w14:textId="77777777" w:rsidR="007E4BD1" w:rsidRPr="003D70D1" w:rsidRDefault="00937250">
      <w:pPr>
        <w:pStyle w:val="1"/>
        <w:spacing w:before="35"/>
        <w:ind w:left="2891" w:right="3168"/>
        <w:jc w:val="center"/>
        <w:rPr>
          <w:bCs w:val="0"/>
        </w:rPr>
      </w:pPr>
      <w:r w:rsidRPr="003D70D1">
        <w:rPr>
          <w:rFonts w:hint="eastAsia"/>
          <w:bCs w:val="0"/>
        </w:rPr>
        <w:t>西南财经大学会计学院</w:t>
      </w:r>
    </w:p>
    <w:p w14:paraId="35938C3A" w14:textId="77777777" w:rsidR="007E4BD1" w:rsidRPr="003D70D1" w:rsidRDefault="007E4BD1">
      <w:pPr>
        <w:pStyle w:val="a5"/>
        <w:spacing w:before="9"/>
        <w:rPr>
          <w:b/>
        </w:rPr>
      </w:pPr>
    </w:p>
    <w:p w14:paraId="78775898" w14:textId="77777777" w:rsidR="007E4BD1" w:rsidRPr="003D70D1" w:rsidRDefault="00937250">
      <w:pPr>
        <w:ind w:left="2065"/>
        <w:rPr>
          <w:b/>
          <w:sz w:val="28"/>
          <w:szCs w:val="28"/>
        </w:rPr>
      </w:pPr>
      <w:r w:rsidRPr="003D70D1">
        <w:rPr>
          <w:rFonts w:hint="eastAsia"/>
          <w:b/>
          <w:sz w:val="28"/>
          <w:szCs w:val="28"/>
        </w:rPr>
        <w:t>本科毕业论文答辩质量控制实施办法</w:t>
      </w:r>
    </w:p>
    <w:p w14:paraId="158EC305" w14:textId="77777777" w:rsidR="007E4BD1" w:rsidRDefault="007E4BD1">
      <w:pPr>
        <w:pStyle w:val="a5"/>
        <w:spacing w:before="9"/>
      </w:pPr>
    </w:p>
    <w:p w14:paraId="20DC5DC7" w14:textId="77777777" w:rsidR="007E4BD1" w:rsidRPr="003D70D1" w:rsidRDefault="00937250">
      <w:pPr>
        <w:pStyle w:val="a5"/>
        <w:spacing w:before="1" w:line="417" w:lineRule="auto"/>
        <w:ind w:left="104" w:right="244" w:firstLine="561"/>
        <w:rPr>
          <w:rFonts w:ascii="仿宋" w:eastAsia="仿宋" w:hAnsi="仿宋"/>
        </w:rPr>
      </w:pPr>
      <w:r w:rsidRPr="003D70D1">
        <w:rPr>
          <w:rFonts w:ascii="仿宋" w:eastAsia="仿宋" w:hAnsi="仿宋" w:hint="eastAsia"/>
          <w:spacing w:val="-10"/>
        </w:rPr>
        <w:t>为了进一步规范本科毕业论文答辩工作，提高本科毕业论文质量。</w:t>
      </w:r>
      <w:r w:rsidRPr="003D70D1">
        <w:rPr>
          <w:rFonts w:ascii="仿宋" w:eastAsia="仿宋" w:hAnsi="仿宋" w:hint="eastAsia"/>
          <w:spacing w:val="-6"/>
        </w:rPr>
        <w:t>依据教育部及学校相关规定，结合会计学院实际情况，制定本实施办法。</w:t>
      </w:r>
      <w:bookmarkStart w:id="0" w:name="_GoBack"/>
      <w:bookmarkEnd w:id="0"/>
    </w:p>
    <w:p w14:paraId="41064F4B" w14:textId="77777777" w:rsidR="007E4BD1" w:rsidRPr="003D70D1" w:rsidRDefault="00937250">
      <w:pPr>
        <w:pStyle w:val="a5"/>
        <w:spacing w:line="417" w:lineRule="auto"/>
        <w:ind w:left="104" w:right="384" w:firstLine="561"/>
        <w:rPr>
          <w:rFonts w:ascii="仿宋" w:eastAsia="仿宋" w:hAnsi="仿宋"/>
        </w:rPr>
      </w:pPr>
      <w:r w:rsidRPr="003D70D1">
        <w:rPr>
          <w:rFonts w:ascii="仿宋" w:eastAsia="仿宋" w:hAnsi="仿宋" w:hint="eastAsia"/>
        </w:rPr>
        <w:t>一、本办法适用于会计学院所有类别的本科毕业生，包括中外合作办学项目、财务管理辅修</w:t>
      </w:r>
      <w:r w:rsidRPr="003D70D1">
        <w:rPr>
          <w:rFonts w:ascii="仿宋" w:eastAsia="仿宋" w:hAnsi="仿宋" w:hint="eastAsia"/>
          <w:lang w:val="en-US"/>
        </w:rPr>
        <w:t>同学</w:t>
      </w:r>
      <w:r w:rsidRPr="003D70D1">
        <w:rPr>
          <w:rFonts w:ascii="仿宋" w:eastAsia="仿宋" w:hAnsi="仿宋" w:hint="eastAsia"/>
        </w:rPr>
        <w:t>等。</w:t>
      </w:r>
    </w:p>
    <w:p w14:paraId="2A1CCC56" w14:textId="77777777" w:rsidR="007E4BD1" w:rsidRPr="003D70D1" w:rsidRDefault="00937250">
      <w:pPr>
        <w:pStyle w:val="a5"/>
        <w:spacing w:line="417" w:lineRule="auto"/>
        <w:ind w:left="104" w:right="382" w:firstLine="561"/>
        <w:rPr>
          <w:rFonts w:ascii="仿宋" w:eastAsia="仿宋" w:hAnsi="仿宋"/>
        </w:rPr>
      </w:pPr>
      <w:r w:rsidRPr="003D70D1">
        <w:rPr>
          <w:rFonts w:ascii="仿宋" w:eastAsia="仿宋" w:hAnsi="仿宋" w:hint="eastAsia"/>
          <w:spacing w:val="-14"/>
        </w:rPr>
        <w:t>二、会计学院本科毕业论文答辩质量控制实行“末位审议制”，具</w:t>
      </w:r>
      <w:r w:rsidRPr="003D70D1">
        <w:rPr>
          <w:rFonts w:ascii="仿宋" w:eastAsia="仿宋" w:hAnsi="仿宋" w:hint="eastAsia"/>
          <w:spacing w:val="-5"/>
        </w:rPr>
        <w:t>体实施办法如下：</w:t>
      </w:r>
    </w:p>
    <w:p w14:paraId="2DD7BBC9" w14:textId="7455C23C" w:rsidR="007E4BD1" w:rsidRPr="003D70D1" w:rsidRDefault="00937250">
      <w:pPr>
        <w:pStyle w:val="a6"/>
        <w:numPr>
          <w:ilvl w:val="0"/>
          <w:numId w:val="1"/>
        </w:numPr>
        <w:tabs>
          <w:tab w:val="left" w:pos="880"/>
        </w:tabs>
        <w:spacing w:line="417" w:lineRule="auto"/>
        <w:ind w:right="382" w:firstLine="561"/>
        <w:jc w:val="both"/>
        <w:rPr>
          <w:rFonts w:ascii="仿宋" w:eastAsia="仿宋" w:hAnsi="仿宋"/>
          <w:sz w:val="28"/>
          <w:szCs w:val="28"/>
        </w:rPr>
      </w:pPr>
      <w:r w:rsidRPr="003D70D1">
        <w:rPr>
          <w:rFonts w:ascii="仿宋" w:eastAsia="仿宋" w:hAnsi="仿宋" w:hint="eastAsia"/>
          <w:spacing w:val="-5"/>
          <w:sz w:val="28"/>
          <w:szCs w:val="28"/>
        </w:rPr>
        <w:t>确定对象。按照指导老师</w:t>
      </w:r>
      <w:r w:rsidRPr="003D70D1">
        <w:rPr>
          <w:rFonts w:ascii="仿宋" w:eastAsia="仿宋" w:hAnsi="仿宋" w:hint="eastAsia"/>
          <w:sz w:val="28"/>
          <w:szCs w:val="28"/>
        </w:rPr>
        <w:t>/</w:t>
      </w:r>
      <w:r w:rsidRPr="003D70D1">
        <w:rPr>
          <w:rFonts w:ascii="仿宋" w:eastAsia="仿宋" w:hAnsi="仿宋" w:hint="eastAsia"/>
          <w:spacing w:val="-5"/>
          <w:sz w:val="28"/>
          <w:szCs w:val="28"/>
        </w:rPr>
        <w:t>评阅老师回避原则，将通过论文评阅</w:t>
      </w:r>
      <w:r w:rsidRPr="003D70D1">
        <w:rPr>
          <w:rFonts w:ascii="仿宋" w:eastAsia="仿宋" w:hAnsi="仿宋" w:hint="eastAsia"/>
          <w:spacing w:val="-7"/>
          <w:sz w:val="28"/>
          <w:szCs w:val="28"/>
        </w:rPr>
        <w:t>的学生分成若干答辩组。</w:t>
      </w:r>
      <w:r w:rsidR="00327680" w:rsidRPr="003D70D1">
        <w:rPr>
          <w:rFonts w:ascii="仿宋" w:eastAsia="仿宋" w:hAnsi="仿宋" w:hint="eastAsia"/>
          <w:spacing w:val="-7"/>
          <w:sz w:val="28"/>
          <w:szCs w:val="28"/>
        </w:rPr>
        <w:t>论文质量及答辩表现较为一般，</w:t>
      </w:r>
      <w:proofErr w:type="gramStart"/>
      <w:r w:rsidR="00327680" w:rsidRPr="003D70D1">
        <w:rPr>
          <w:rFonts w:ascii="仿宋" w:eastAsia="仿宋" w:hAnsi="仿宋" w:hint="eastAsia"/>
          <w:spacing w:val="-7"/>
          <w:sz w:val="28"/>
          <w:szCs w:val="28"/>
        </w:rPr>
        <w:t>答辩组无法</w:t>
      </w:r>
      <w:proofErr w:type="gramEnd"/>
      <w:r w:rsidR="00327680" w:rsidRPr="003D70D1">
        <w:rPr>
          <w:rFonts w:ascii="仿宋" w:eastAsia="仿宋" w:hAnsi="仿宋" w:hint="eastAsia"/>
          <w:spacing w:val="-7"/>
          <w:sz w:val="28"/>
          <w:szCs w:val="28"/>
        </w:rPr>
        <w:t>当场确定决议的，将进入末位审议。一辩时，如全组论文都可以通过，成绩最低的同学</w:t>
      </w:r>
      <w:r w:rsidR="00EB49F6" w:rsidRPr="003D70D1">
        <w:rPr>
          <w:rFonts w:ascii="仿宋" w:eastAsia="仿宋" w:hAnsi="仿宋" w:hint="eastAsia"/>
          <w:spacing w:val="-7"/>
          <w:sz w:val="28"/>
          <w:szCs w:val="28"/>
        </w:rPr>
        <w:t>必须</w:t>
      </w:r>
      <w:r w:rsidR="00327680" w:rsidRPr="003D70D1">
        <w:rPr>
          <w:rFonts w:ascii="仿宋" w:eastAsia="仿宋" w:hAnsi="仿宋" w:hint="eastAsia"/>
          <w:spacing w:val="-7"/>
          <w:sz w:val="28"/>
          <w:szCs w:val="28"/>
        </w:rPr>
        <w:t>进入末位审议</w:t>
      </w:r>
      <w:r w:rsidR="00EB49F6" w:rsidRPr="003D70D1">
        <w:rPr>
          <w:rFonts w:ascii="仿宋" w:eastAsia="仿宋" w:hAnsi="仿宋" w:hint="eastAsia"/>
          <w:spacing w:val="-7"/>
          <w:sz w:val="28"/>
          <w:szCs w:val="28"/>
        </w:rPr>
        <w:t>，至少1名</w:t>
      </w:r>
      <w:r w:rsidR="00327680" w:rsidRPr="003D70D1">
        <w:rPr>
          <w:rFonts w:ascii="仿宋" w:eastAsia="仿宋" w:hAnsi="仿宋" w:hint="eastAsia"/>
          <w:spacing w:val="-7"/>
          <w:sz w:val="28"/>
          <w:szCs w:val="28"/>
        </w:rPr>
        <w:t>。此外，答辩委员会还可在此基础上增选本组其他答辩成绩较差的学生成为“末位审议”对象。</w:t>
      </w:r>
    </w:p>
    <w:p w14:paraId="484BDEDE" w14:textId="77777777" w:rsidR="007E4BD1" w:rsidRPr="003D70D1" w:rsidRDefault="00937250">
      <w:pPr>
        <w:pStyle w:val="a6"/>
        <w:numPr>
          <w:ilvl w:val="0"/>
          <w:numId w:val="1"/>
        </w:numPr>
        <w:tabs>
          <w:tab w:val="left" w:pos="878"/>
        </w:tabs>
        <w:spacing w:line="417" w:lineRule="auto"/>
        <w:ind w:left="124" w:firstLine="540"/>
        <w:rPr>
          <w:rFonts w:ascii="仿宋" w:eastAsia="仿宋" w:hAnsi="仿宋"/>
          <w:sz w:val="28"/>
          <w:szCs w:val="28"/>
        </w:rPr>
      </w:pPr>
      <w:r w:rsidRPr="003D70D1">
        <w:rPr>
          <w:rFonts w:ascii="仿宋" w:eastAsia="仿宋" w:hAnsi="仿宋" w:hint="eastAsia"/>
          <w:spacing w:val="-1"/>
          <w:sz w:val="28"/>
          <w:szCs w:val="28"/>
        </w:rPr>
        <w:t>计分原则。答辩成绩</w:t>
      </w:r>
      <w:r w:rsidRPr="003D70D1">
        <w:rPr>
          <w:rFonts w:ascii="仿宋" w:eastAsia="仿宋" w:hAnsi="仿宋" w:hint="eastAsia"/>
          <w:spacing w:val="-1"/>
          <w:sz w:val="28"/>
          <w:szCs w:val="28"/>
          <w:lang w:val="en-US"/>
        </w:rPr>
        <w:t>为</w:t>
      </w:r>
      <w:proofErr w:type="gramStart"/>
      <w:r w:rsidRPr="003D70D1">
        <w:rPr>
          <w:rFonts w:ascii="仿宋" w:eastAsia="仿宋" w:hAnsi="仿宋" w:hint="eastAsia"/>
          <w:spacing w:val="-1"/>
          <w:sz w:val="28"/>
          <w:szCs w:val="28"/>
          <w:lang w:val="en-US"/>
        </w:rPr>
        <w:t>答辩组</w:t>
      </w:r>
      <w:proofErr w:type="gramEnd"/>
      <w:r w:rsidRPr="003D70D1">
        <w:rPr>
          <w:rFonts w:ascii="仿宋" w:eastAsia="仿宋" w:hAnsi="仿宋" w:hint="eastAsia"/>
          <w:spacing w:val="-1"/>
          <w:sz w:val="28"/>
          <w:szCs w:val="28"/>
          <w:lang w:val="en-US"/>
        </w:rPr>
        <w:t>所有</w:t>
      </w:r>
      <w:r w:rsidRPr="003D70D1">
        <w:rPr>
          <w:rFonts w:ascii="仿宋" w:eastAsia="仿宋" w:hAnsi="仿宋" w:hint="eastAsia"/>
          <w:spacing w:val="-1"/>
          <w:sz w:val="28"/>
          <w:szCs w:val="28"/>
        </w:rPr>
        <w:t>专家答辩成绩的算术平均分。除每组答</w:t>
      </w:r>
      <w:r w:rsidRPr="003D70D1">
        <w:rPr>
          <w:rFonts w:ascii="仿宋" w:eastAsia="仿宋" w:hAnsi="仿宋" w:hint="eastAsia"/>
          <w:spacing w:val="-3"/>
          <w:sz w:val="28"/>
          <w:szCs w:val="28"/>
        </w:rPr>
        <w:t>辩成绩最后一名外，还需要增选“末位审议”对象的，以答辩委</w:t>
      </w:r>
      <w:r w:rsidRPr="003D70D1">
        <w:rPr>
          <w:rFonts w:ascii="仿宋" w:eastAsia="仿宋" w:hAnsi="仿宋" w:hint="eastAsia"/>
          <w:spacing w:val="-4"/>
          <w:sz w:val="28"/>
          <w:szCs w:val="28"/>
        </w:rPr>
        <w:t>员会表决的结果为依据，且必须有三分之二及以上的答辩委员同意。</w:t>
      </w:r>
    </w:p>
    <w:p w14:paraId="6B5B0A90" w14:textId="4A83B1E5" w:rsidR="007E4BD1" w:rsidRPr="003D70D1" w:rsidRDefault="00937250">
      <w:pPr>
        <w:pStyle w:val="a6"/>
        <w:numPr>
          <w:ilvl w:val="0"/>
          <w:numId w:val="1"/>
        </w:numPr>
        <w:tabs>
          <w:tab w:val="left" w:pos="880"/>
        </w:tabs>
        <w:spacing w:line="417" w:lineRule="auto"/>
        <w:ind w:right="244" w:firstLine="561"/>
        <w:rPr>
          <w:rFonts w:ascii="仿宋" w:eastAsia="仿宋" w:hAnsi="仿宋"/>
          <w:spacing w:val="-12"/>
          <w:sz w:val="28"/>
          <w:szCs w:val="28"/>
        </w:rPr>
      </w:pPr>
      <w:r w:rsidRPr="003D70D1">
        <w:rPr>
          <w:rFonts w:ascii="仿宋" w:eastAsia="仿宋" w:hAnsi="仿宋" w:hint="eastAsia"/>
          <w:sz w:val="28"/>
          <w:szCs w:val="28"/>
        </w:rPr>
        <w:t>处理办法。进入“末位审议”的论文将直接送呈学院学位分委</w:t>
      </w:r>
      <w:r w:rsidRPr="003D70D1">
        <w:rPr>
          <w:rFonts w:ascii="仿宋" w:eastAsia="仿宋" w:hAnsi="仿宋" w:hint="eastAsia"/>
          <w:spacing w:val="-3"/>
          <w:sz w:val="28"/>
          <w:szCs w:val="28"/>
        </w:rPr>
        <w:t>员会，由专家结合答辩情况以及学位论文情况进行答辩结果判定。经审议后，答辩结论为</w:t>
      </w:r>
      <w:r w:rsidRPr="003D70D1">
        <w:rPr>
          <w:rFonts w:ascii="仿宋" w:eastAsia="仿宋" w:hAnsi="仿宋" w:hint="eastAsia"/>
          <w:sz w:val="28"/>
          <w:szCs w:val="28"/>
        </w:rPr>
        <w:t>“同意通过”</w:t>
      </w:r>
      <w:r w:rsidRPr="003D70D1">
        <w:rPr>
          <w:rFonts w:ascii="仿宋" w:eastAsia="仿宋" w:hAnsi="仿宋" w:hint="eastAsia"/>
          <w:spacing w:val="-3"/>
          <w:sz w:val="28"/>
          <w:szCs w:val="28"/>
        </w:rPr>
        <w:t>的学生，保留答辩成绩，可正常获</w:t>
      </w:r>
      <w:r w:rsidRPr="003D70D1">
        <w:rPr>
          <w:rFonts w:ascii="仿宋" w:eastAsia="仿宋" w:hAnsi="仿宋" w:hint="eastAsia"/>
          <w:spacing w:val="-12"/>
          <w:sz w:val="28"/>
          <w:szCs w:val="28"/>
        </w:rPr>
        <w:t>得毕业论文学分；答辩结论为</w:t>
      </w:r>
      <w:r w:rsidRPr="003D70D1">
        <w:rPr>
          <w:rFonts w:ascii="仿宋" w:eastAsia="仿宋" w:hAnsi="仿宋" w:hint="eastAsia"/>
          <w:sz w:val="28"/>
          <w:szCs w:val="28"/>
        </w:rPr>
        <w:t>“</w:t>
      </w:r>
      <w:r w:rsidR="007701CB" w:rsidRPr="003D70D1">
        <w:rPr>
          <w:rFonts w:ascii="仿宋" w:eastAsia="仿宋" w:hAnsi="仿宋" w:hint="eastAsia"/>
          <w:spacing w:val="-12"/>
          <w:sz w:val="28"/>
          <w:szCs w:val="28"/>
        </w:rPr>
        <w:t>延期一个月再答辩</w:t>
      </w:r>
      <w:r w:rsidRPr="003D70D1">
        <w:rPr>
          <w:rFonts w:ascii="仿宋" w:eastAsia="仿宋" w:hAnsi="仿宋" w:hint="eastAsia"/>
          <w:spacing w:val="-12"/>
          <w:sz w:val="28"/>
          <w:szCs w:val="28"/>
        </w:rPr>
        <w:t>”</w:t>
      </w:r>
      <w:r w:rsidR="007701CB" w:rsidRPr="003D70D1">
        <w:rPr>
          <w:rFonts w:ascii="仿宋" w:eastAsia="仿宋" w:hAnsi="仿宋" w:hint="eastAsia"/>
          <w:spacing w:val="-12"/>
          <w:sz w:val="28"/>
          <w:szCs w:val="28"/>
        </w:rPr>
        <w:t xml:space="preserve"> “延期三个月再答辩”“延期六个月再答辩”</w:t>
      </w:r>
      <w:r w:rsidRPr="003D70D1">
        <w:rPr>
          <w:rFonts w:ascii="仿宋" w:eastAsia="仿宋" w:hAnsi="仿宋" w:hint="eastAsia"/>
          <w:spacing w:val="-12"/>
          <w:sz w:val="28"/>
          <w:szCs w:val="28"/>
        </w:rPr>
        <w:t>的学生，必须在导师指导下对毕业论文进行再次进行修改</w:t>
      </w:r>
      <w:r w:rsidR="007701CB" w:rsidRPr="003D70D1">
        <w:rPr>
          <w:rFonts w:ascii="仿宋" w:eastAsia="仿宋" w:hAnsi="仿宋" w:hint="eastAsia"/>
          <w:spacing w:val="-12"/>
          <w:sz w:val="28"/>
          <w:szCs w:val="28"/>
        </w:rPr>
        <w:t>并通过</w:t>
      </w:r>
      <w:r w:rsidRPr="003D70D1">
        <w:rPr>
          <w:rFonts w:ascii="仿宋" w:eastAsia="仿宋" w:hAnsi="仿宋" w:hint="eastAsia"/>
          <w:spacing w:val="-12"/>
          <w:sz w:val="28"/>
          <w:szCs w:val="28"/>
        </w:rPr>
        <w:t>后，再次进入答辩流程</w:t>
      </w:r>
      <w:r w:rsidR="007701CB" w:rsidRPr="003D70D1">
        <w:rPr>
          <w:rFonts w:ascii="仿宋" w:eastAsia="仿宋" w:hAnsi="仿宋" w:hint="eastAsia"/>
          <w:spacing w:val="-12"/>
          <w:sz w:val="28"/>
          <w:szCs w:val="28"/>
        </w:rPr>
        <w:t>。</w:t>
      </w:r>
      <w:r w:rsidRPr="003D70D1">
        <w:rPr>
          <w:rFonts w:ascii="仿宋" w:eastAsia="仿宋" w:hAnsi="仿宋" w:hint="eastAsia"/>
          <w:spacing w:val="-12"/>
          <w:sz w:val="28"/>
          <w:szCs w:val="28"/>
        </w:rPr>
        <w:t>若再次</w:t>
      </w:r>
      <w:proofErr w:type="gramStart"/>
      <w:r w:rsidRPr="003D70D1">
        <w:rPr>
          <w:rFonts w:ascii="仿宋" w:eastAsia="仿宋" w:hAnsi="仿宋" w:hint="eastAsia"/>
          <w:spacing w:val="-12"/>
          <w:sz w:val="28"/>
          <w:szCs w:val="28"/>
        </w:rPr>
        <w:t>答辩仍</w:t>
      </w:r>
      <w:proofErr w:type="gramEnd"/>
      <w:r w:rsidRPr="003D70D1">
        <w:rPr>
          <w:rFonts w:ascii="仿宋" w:eastAsia="仿宋" w:hAnsi="仿宋" w:hint="eastAsia"/>
          <w:spacing w:val="-12"/>
          <w:sz w:val="28"/>
          <w:szCs w:val="28"/>
        </w:rPr>
        <w:t>不通过，</w:t>
      </w:r>
      <w:r w:rsidR="007701CB" w:rsidRPr="003D70D1">
        <w:rPr>
          <w:rFonts w:ascii="仿宋" w:eastAsia="仿宋" w:hAnsi="仿宋" w:hint="eastAsia"/>
          <w:spacing w:val="-12"/>
          <w:sz w:val="28"/>
          <w:szCs w:val="28"/>
        </w:rPr>
        <w:t>应</w:t>
      </w:r>
      <w:r w:rsidRPr="003D70D1">
        <w:rPr>
          <w:rFonts w:ascii="仿宋" w:eastAsia="仿宋" w:hAnsi="仿宋" w:hint="eastAsia"/>
          <w:spacing w:val="-12"/>
          <w:sz w:val="28"/>
          <w:szCs w:val="28"/>
        </w:rPr>
        <w:lastRenderedPageBreak/>
        <w:t>同下一届学生一起开题，重新进行论文写作</w:t>
      </w:r>
      <w:r w:rsidR="007701CB" w:rsidRPr="003D70D1">
        <w:rPr>
          <w:rFonts w:ascii="仿宋" w:eastAsia="仿宋" w:hAnsi="仿宋" w:hint="eastAsia"/>
          <w:spacing w:val="-12"/>
          <w:sz w:val="28"/>
          <w:szCs w:val="28"/>
        </w:rPr>
        <w:t>。</w:t>
      </w:r>
    </w:p>
    <w:p w14:paraId="1EB12908" w14:textId="77777777" w:rsidR="007E4BD1" w:rsidRPr="003D70D1" w:rsidRDefault="00937250">
      <w:pPr>
        <w:pStyle w:val="a5"/>
        <w:spacing w:line="358" w:lineRule="exact"/>
        <w:ind w:left="666"/>
        <w:rPr>
          <w:rFonts w:ascii="仿宋" w:eastAsia="仿宋" w:hAnsi="仿宋"/>
        </w:rPr>
      </w:pPr>
      <w:r w:rsidRPr="003D70D1">
        <w:rPr>
          <w:rFonts w:ascii="仿宋" w:eastAsia="仿宋" w:hAnsi="仿宋" w:hint="eastAsia"/>
        </w:rPr>
        <w:t>三、本办法自发布之日起施行，并由会计学院负责解释。</w:t>
      </w:r>
    </w:p>
    <w:p w14:paraId="0D7FCEFB" w14:textId="77777777" w:rsidR="007E4BD1" w:rsidRPr="003D70D1" w:rsidRDefault="007E4BD1">
      <w:pPr>
        <w:pStyle w:val="a5"/>
        <w:rPr>
          <w:rFonts w:ascii="仿宋" w:eastAsia="仿宋" w:hAnsi="仿宋"/>
        </w:rPr>
      </w:pPr>
    </w:p>
    <w:p w14:paraId="5016AD0E" w14:textId="77777777" w:rsidR="003D70D1" w:rsidRPr="003D70D1" w:rsidRDefault="003D70D1">
      <w:pPr>
        <w:pStyle w:val="a5"/>
        <w:spacing w:line="417" w:lineRule="auto"/>
        <w:ind w:left="5999" w:right="382" w:firstLine="1401"/>
        <w:jc w:val="right"/>
        <w:rPr>
          <w:rFonts w:ascii="仿宋" w:eastAsia="仿宋" w:hAnsi="仿宋"/>
        </w:rPr>
      </w:pPr>
    </w:p>
    <w:p w14:paraId="5A3952F5" w14:textId="77777777" w:rsidR="003D70D1" w:rsidRPr="003D70D1" w:rsidRDefault="003D70D1">
      <w:pPr>
        <w:pStyle w:val="a5"/>
        <w:spacing w:line="417" w:lineRule="auto"/>
        <w:ind w:left="5999" w:right="382" w:firstLine="1401"/>
        <w:jc w:val="right"/>
        <w:rPr>
          <w:rFonts w:ascii="仿宋" w:eastAsia="仿宋" w:hAnsi="仿宋"/>
        </w:rPr>
      </w:pPr>
    </w:p>
    <w:p w14:paraId="30E2C212" w14:textId="77777777" w:rsidR="003D70D1" w:rsidRPr="003D70D1" w:rsidRDefault="003D70D1">
      <w:pPr>
        <w:pStyle w:val="a5"/>
        <w:spacing w:line="417" w:lineRule="auto"/>
        <w:ind w:left="5999" w:right="382" w:firstLine="1401"/>
        <w:jc w:val="right"/>
        <w:rPr>
          <w:rFonts w:ascii="仿宋" w:eastAsia="仿宋" w:hAnsi="仿宋"/>
        </w:rPr>
      </w:pPr>
    </w:p>
    <w:p w14:paraId="1BE9094A" w14:textId="64306D6C" w:rsidR="007E4BD1" w:rsidRPr="003D70D1" w:rsidRDefault="00937250">
      <w:pPr>
        <w:pStyle w:val="a5"/>
        <w:spacing w:line="417" w:lineRule="auto"/>
        <w:ind w:left="5999" w:right="382" w:firstLine="1401"/>
        <w:jc w:val="right"/>
        <w:rPr>
          <w:rFonts w:ascii="仿宋" w:eastAsia="仿宋" w:hAnsi="仿宋"/>
        </w:rPr>
      </w:pPr>
      <w:r w:rsidRPr="003D70D1">
        <w:rPr>
          <w:rFonts w:ascii="仿宋" w:eastAsia="仿宋" w:hAnsi="仿宋" w:hint="eastAsia"/>
        </w:rPr>
        <w:t>会计学院本科教学管理办公室202</w:t>
      </w:r>
      <w:r w:rsidR="007701CB" w:rsidRPr="003D70D1">
        <w:rPr>
          <w:rFonts w:ascii="仿宋" w:eastAsia="仿宋" w:hAnsi="仿宋"/>
        </w:rPr>
        <w:t>3</w:t>
      </w:r>
      <w:r w:rsidRPr="003D70D1">
        <w:rPr>
          <w:rFonts w:ascii="仿宋" w:eastAsia="仿宋" w:hAnsi="仿宋" w:hint="eastAsia"/>
        </w:rPr>
        <w:t>年4月</w:t>
      </w:r>
      <w:r w:rsidR="007701CB" w:rsidRPr="003D70D1">
        <w:rPr>
          <w:rFonts w:ascii="仿宋" w:eastAsia="仿宋" w:hAnsi="仿宋"/>
        </w:rPr>
        <w:t>11</w:t>
      </w:r>
      <w:r w:rsidRPr="003D70D1">
        <w:rPr>
          <w:rFonts w:ascii="仿宋" w:eastAsia="仿宋" w:hAnsi="仿宋" w:hint="eastAsia"/>
        </w:rPr>
        <w:t>日</w:t>
      </w:r>
    </w:p>
    <w:sectPr w:rsidR="007E4BD1" w:rsidRPr="003D70D1">
      <w:pgSz w:w="11910" w:h="16840"/>
      <w:pgMar w:top="1520" w:right="136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06AA6" w14:textId="77777777" w:rsidR="00E90699" w:rsidRDefault="00E90699">
      <w:r>
        <w:separator/>
      </w:r>
    </w:p>
  </w:endnote>
  <w:endnote w:type="continuationSeparator" w:id="0">
    <w:p w14:paraId="393D6653" w14:textId="77777777" w:rsidR="00E90699" w:rsidRDefault="00E9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2D81" w14:textId="77777777" w:rsidR="00E90699" w:rsidRDefault="00E90699">
      <w:r>
        <w:separator/>
      </w:r>
    </w:p>
  </w:footnote>
  <w:footnote w:type="continuationSeparator" w:id="0">
    <w:p w14:paraId="406CA66A" w14:textId="77777777" w:rsidR="00E90699" w:rsidRDefault="00E9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80" w:hanging="21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1" w:hanging="21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41" w:hanging="21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22" w:hanging="21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03" w:hanging="21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83" w:hanging="21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64" w:hanging="21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4" w:hanging="214"/>
      </w:pPr>
      <w:rPr>
        <w:rFonts w:hint="default"/>
        <w:lang w:val="zh-CN" w:eastAsia="zh-CN" w:bidi="zh-CN"/>
      </w:rPr>
    </w:lvl>
  </w:abstractNum>
  <w:abstractNum w:abstractNumId="1" w15:restartNumberingAfterBreak="0">
    <w:nsid w:val="5F4C21C8"/>
    <w:multiLevelType w:val="hybridMultilevel"/>
    <w:tmpl w:val="73CE3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D1"/>
    <w:rsid w:val="000D07E2"/>
    <w:rsid w:val="001B688E"/>
    <w:rsid w:val="00327680"/>
    <w:rsid w:val="003516E2"/>
    <w:rsid w:val="00373AE7"/>
    <w:rsid w:val="00381D32"/>
    <w:rsid w:val="00391B5D"/>
    <w:rsid w:val="003D70D1"/>
    <w:rsid w:val="00512821"/>
    <w:rsid w:val="006201CB"/>
    <w:rsid w:val="007701CB"/>
    <w:rsid w:val="00796B35"/>
    <w:rsid w:val="007E4BD1"/>
    <w:rsid w:val="00865AF6"/>
    <w:rsid w:val="00937250"/>
    <w:rsid w:val="00A84197"/>
    <w:rsid w:val="00C35198"/>
    <w:rsid w:val="00CD1A65"/>
    <w:rsid w:val="00E226AE"/>
    <w:rsid w:val="00E90699"/>
    <w:rsid w:val="00EB49F6"/>
    <w:rsid w:val="00F600CB"/>
    <w:rsid w:val="00F844B4"/>
    <w:rsid w:val="1F912F30"/>
    <w:rsid w:val="539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C93C"/>
  <w15:docId w15:val="{DB966051-1C55-4616-9BC1-D236FEFD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06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04" w:right="103" w:firstLine="561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Balloon Text"/>
    <w:basedOn w:val="a"/>
    <w:link w:val="a9"/>
    <w:rsid w:val="006201CB"/>
    <w:rPr>
      <w:sz w:val="18"/>
      <w:szCs w:val="18"/>
    </w:rPr>
  </w:style>
  <w:style w:type="character" w:customStyle="1" w:styleId="a9">
    <w:name w:val="批注框文本 字符"/>
    <w:basedOn w:val="a0"/>
    <w:link w:val="a8"/>
    <w:rsid w:val="006201CB"/>
    <w:rPr>
      <w:rFonts w:ascii="宋体" w:eastAsia="宋体" w:hAnsi="宋体" w:cs="宋体"/>
      <w:sz w:val="18"/>
      <w:szCs w:val="18"/>
      <w:lang w:val="zh-CN" w:bidi="zh-CN"/>
    </w:rPr>
  </w:style>
  <w:style w:type="paragraph" w:styleId="aa">
    <w:name w:val="annotation subject"/>
    <w:basedOn w:val="a3"/>
    <w:next w:val="a3"/>
    <w:link w:val="ab"/>
    <w:rsid w:val="006201CB"/>
    <w:rPr>
      <w:b/>
      <w:bCs/>
    </w:rPr>
  </w:style>
  <w:style w:type="character" w:customStyle="1" w:styleId="a4">
    <w:name w:val="批注文字 字符"/>
    <w:basedOn w:val="a0"/>
    <w:link w:val="a3"/>
    <w:rsid w:val="006201CB"/>
    <w:rPr>
      <w:rFonts w:ascii="宋体" w:eastAsia="宋体" w:hAnsi="宋体" w:cs="宋体"/>
      <w:sz w:val="22"/>
      <w:szCs w:val="22"/>
      <w:lang w:val="zh-CN" w:bidi="zh-CN"/>
    </w:rPr>
  </w:style>
  <w:style w:type="character" w:customStyle="1" w:styleId="ab">
    <w:name w:val="批注主题 字符"/>
    <w:basedOn w:val="a4"/>
    <w:link w:val="aa"/>
    <w:rsid w:val="006201CB"/>
    <w:rPr>
      <w:rFonts w:ascii="宋体" w:eastAsia="宋体" w:hAnsi="宋体" w:cs="宋体"/>
      <w:b/>
      <w:bCs/>
      <w:sz w:val="22"/>
      <w:szCs w:val="22"/>
      <w:lang w:val="zh-CN" w:bidi="zh-CN"/>
    </w:rPr>
  </w:style>
  <w:style w:type="paragraph" w:styleId="ac">
    <w:name w:val="header"/>
    <w:basedOn w:val="a"/>
    <w:link w:val="ad"/>
    <w:rsid w:val="0035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3516E2"/>
    <w:rPr>
      <w:rFonts w:ascii="宋体" w:eastAsia="宋体" w:hAnsi="宋体" w:cs="宋体"/>
      <w:sz w:val="18"/>
      <w:szCs w:val="18"/>
      <w:lang w:val="zh-CN" w:bidi="zh-CN"/>
    </w:rPr>
  </w:style>
  <w:style w:type="paragraph" w:styleId="ae">
    <w:name w:val="footer"/>
    <w:basedOn w:val="a"/>
    <w:link w:val="af"/>
    <w:rsid w:val="003516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3516E2"/>
    <w:rPr>
      <w:rFonts w:ascii="宋体" w:eastAsia="宋体" w:hAnsi="宋体" w:cs="宋体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32768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wangmengle</dc:creator>
  <cp:lastModifiedBy>缪梦茹</cp:lastModifiedBy>
  <cp:revision>2</cp:revision>
  <cp:lastPrinted>2023-04-12T08:23:00Z</cp:lastPrinted>
  <dcterms:created xsi:type="dcterms:W3CDTF">2023-05-18T02:50:00Z</dcterms:created>
  <dcterms:modified xsi:type="dcterms:W3CDTF">2023-05-18T02:50:00Z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2022-04-21T00:00:00Z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8BDE9F7907914D5E9824DB0D6733087C</vt:lpwstr>
  </property>
</Properties>
</file>