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00CCC" w14:textId="77777777" w:rsidR="00761111" w:rsidRDefault="00761111" w:rsidP="00761111">
      <w:pPr>
        <w:pStyle w:val="Style5"/>
        <w:spacing w:line="360" w:lineRule="auto"/>
        <w:jc w:val="both"/>
      </w:pPr>
      <w:r>
        <w:t>窗体顶端</w:t>
      </w:r>
    </w:p>
    <w:p w14:paraId="25D6E08B" w14:textId="77777777" w:rsidR="009E13C8" w:rsidRDefault="00761111" w:rsidP="00761111">
      <w:pPr>
        <w:widowControl/>
        <w:spacing w:line="360" w:lineRule="auto"/>
        <w:ind w:firstLineChars="200" w:firstLine="703"/>
        <w:jc w:val="center"/>
        <w:rPr>
          <w:rFonts w:ascii="黑体" w:eastAsia="黑体" w:hAnsi="宋体" w:cs="黑体"/>
          <w:b/>
          <w:bCs/>
          <w:color w:val="111111"/>
          <w:spacing w:val="15"/>
          <w:kern w:val="0"/>
          <w:sz w:val="32"/>
          <w:szCs w:val="32"/>
          <w:lang w:bidi="ar"/>
        </w:rPr>
      </w:pPr>
      <w:bookmarkStart w:id="0" w:name="OLE_LINK31"/>
      <w:bookmarkStart w:id="1" w:name="OLE_LINK32"/>
      <w:r>
        <w:rPr>
          <w:rFonts w:ascii="黑体" w:eastAsia="黑体" w:hAnsi="宋体" w:cs="黑体"/>
          <w:b/>
          <w:bCs/>
          <w:color w:val="111111"/>
          <w:spacing w:val="15"/>
          <w:kern w:val="0"/>
          <w:sz w:val="32"/>
          <w:szCs w:val="32"/>
          <w:lang w:bidi="ar"/>
        </w:rPr>
        <w:t>西南财经大学会计学院</w:t>
      </w:r>
    </w:p>
    <w:p w14:paraId="398F2D8F" w14:textId="6780A9D6" w:rsidR="003F4ADC" w:rsidRDefault="00E54AC1" w:rsidP="00761111">
      <w:pPr>
        <w:widowControl/>
        <w:spacing w:line="360" w:lineRule="auto"/>
        <w:ind w:firstLineChars="200" w:firstLine="703"/>
        <w:jc w:val="center"/>
        <w:rPr>
          <w:rFonts w:ascii="黑体" w:eastAsia="黑体" w:hAnsi="宋体" w:cs="黑体"/>
          <w:b/>
          <w:bCs/>
          <w:color w:val="111111"/>
          <w:spacing w:val="15"/>
          <w:kern w:val="0"/>
          <w:sz w:val="32"/>
          <w:szCs w:val="32"/>
          <w:lang w:bidi="ar"/>
        </w:rPr>
      </w:pPr>
      <w:r>
        <w:rPr>
          <w:rFonts w:ascii="黑体" w:eastAsia="黑体" w:hAnsi="宋体" w:cs="黑体" w:hint="eastAsia"/>
          <w:b/>
          <w:bCs/>
          <w:color w:val="111111"/>
          <w:spacing w:val="15"/>
          <w:kern w:val="0"/>
          <w:sz w:val="32"/>
          <w:szCs w:val="32"/>
          <w:lang w:bidi="ar"/>
        </w:rPr>
        <w:t>硕士研究生学位论文预答辩</w:t>
      </w:r>
      <w:r w:rsidR="003F4ADC">
        <w:rPr>
          <w:rFonts w:ascii="黑体" w:eastAsia="黑体" w:hAnsi="宋体" w:cs="黑体" w:hint="eastAsia"/>
          <w:b/>
          <w:bCs/>
          <w:color w:val="111111"/>
          <w:spacing w:val="15"/>
          <w:kern w:val="0"/>
          <w:sz w:val="32"/>
          <w:szCs w:val="32"/>
          <w:lang w:bidi="ar"/>
        </w:rPr>
        <w:t>办法</w:t>
      </w:r>
      <w:r w:rsidR="00C378FD">
        <w:rPr>
          <w:rFonts w:ascii="黑体" w:eastAsia="黑体" w:hAnsi="宋体" w:cs="黑体" w:hint="eastAsia"/>
          <w:b/>
          <w:bCs/>
          <w:color w:val="111111"/>
          <w:spacing w:val="15"/>
          <w:kern w:val="0"/>
          <w:sz w:val="32"/>
          <w:szCs w:val="32"/>
          <w:lang w:bidi="ar"/>
        </w:rPr>
        <w:t>（试行）</w:t>
      </w:r>
    </w:p>
    <w:p w14:paraId="65D4EA53" w14:textId="732A51C0" w:rsidR="00761111" w:rsidRDefault="003F4ADC" w:rsidP="00761111">
      <w:pPr>
        <w:widowControl/>
        <w:spacing w:line="360" w:lineRule="auto"/>
        <w:ind w:firstLineChars="200" w:firstLine="703"/>
        <w:jc w:val="center"/>
      </w:pPr>
      <w:r>
        <w:rPr>
          <w:rFonts w:ascii="黑体" w:eastAsia="黑体" w:hAnsi="宋体" w:cs="黑体" w:hint="eastAsia"/>
          <w:b/>
          <w:bCs/>
          <w:color w:val="111111"/>
          <w:spacing w:val="15"/>
          <w:kern w:val="0"/>
          <w:sz w:val="32"/>
          <w:szCs w:val="32"/>
          <w:lang w:bidi="ar"/>
        </w:rPr>
        <w:t>（2</w:t>
      </w:r>
      <w:r>
        <w:rPr>
          <w:rFonts w:ascii="黑体" w:eastAsia="黑体" w:hAnsi="宋体" w:cs="黑体"/>
          <w:b/>
          <w:bCs/>
          <w:color w:val="111111"/>
          <w:spacing w:val="15"/>
          <w:kern w:val="0"/>
          <w:sz w:val="32"/>
          <w:szCs w:val="32"/>
          <w:lang w:bidi="ar"/>
        </w:rPr>
        <w:t>021</w:t>
      </w:r>
      <w:r>
        <w:rPr>
          <w:rFonts w:ascii="黑体" w:eastAsia="黑体" w:hAnsi="宋体" w:cs="黑体" w:hint="eastAsia"/>
          <w:b/>
          <w:bCs/>
          <w:color w:val="111111"/>
          <w:spacing w:val="15"/>
          <w:kern w:val="0"/>
          <w:sz w:val="32"/>
          <w:szCs w:val="32"/>
          <w:lang w:bidi="ar"/>
        </w:rPr>
        <w:t>）</w:t>
      </w:r>
    </w:p>
    <w:bookmarkEnd w:id="0"/>
    <w:bookmarkEnd w:id="1"/>
    <w:p w14:paraId="342E70A2" w14:textId="2887CD25" w:rsidR="00761111" w:rsidRPr="00E51746" w:rsidRDefault="003F4ADC" w:rsidP="00E54AC1">
      <w:pPr>
        <w:widowControl/>
        <w:spacing w:line="360" w:lineRule="auto"/>
        <w:ind w:firstLineChars="200" w:firstLine="560"/>
        <w:jc w:val="center"/>
      </w:pPr>
      <w:r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 xml:space="preserve"> </w:t>
      </w:r>
    </w:p>
    <w:p w14:paraId="74A3C1B4" w14:textId="5D39DCA6" w:rsidR="00761111" w:rsidRDefault="00761111" w:rsidP="00761111">
      <w:pPr>
        <w:widowControl/>
        <w:spacing w:line="360" w:lineRule="auto"/>
        <w:ind w:firstLineChars="200" w:firstLine="560"/>
      </w:pPr>
      <w:r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为提高西南财经大学会计学院硕士研究生</w:t>
      </w:r>
      <w:r w:rsidR="00E149B1"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学位论文</w:t>
      </w:r>
      <w:r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质量，特制订本办法。</w:t>
      </w:r>
    </w:p>
    <w:p w14:paraId="494B01D6" w14:textId="77777777" w:rsidR="00761111" w:rsidRDefault="00761111" w:rsidP="00761111">
      <w:pPr>
        <w:widowControl/>
        <w:spacing w:line="360" w:lineRule="auto"/>
        <w:ind w:firstLineChars="200" w:firstLine="662"/>
      </w:pPr>
      <w:r>
        <w:rPr>
          <w:rFonts w:ascii="仿宋" w:eastAsia="仿宋" w:hAnsi="仿宋" w:cs="仿宋" w:hint="eastAsia"/>
          <w:b/>
          <w:bCs/>
          <w:color w:val="111111"/>
          <w:spacing w:val="15"/>
          <w:kern w:val="0"/>
          <w:sz w:val="30"/>
          <w:szCs w:val="30"/>
          <w:lang w:bidi="ar"/>
        </w:rPr>
        <w:t>一、总则</w:t>
      </w:r>
    </w:p>
    <w:p w14:paraId="5D925ADD" w14:textId="5005F0D6" w:rsidR="00761111" w:rsidRDefault="00761111" w:rsidP="00761111">
      <w:pPr>
        <w:widowControl/>
        <w:spacing w:line="360" w:lineRule="auto"/>
        <w:ind w:firstLineChars="200" w:firstLine="560"/>
      </w:pPr>
      <w:r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西南财经大学会计学院</w:t>
      </w:r>
      <w:r w:rsidR="00E54AC1"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学术学位、专业学位</w:t>
      </w:r>
      <w:r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研究生</w:t>
      </w:r>
      <w:r w:rsidR="003F4ADC"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实行</w:t>
      </w:r>
      <w:r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统一</w:t>
      </w:r>
      <w:r w:rsidR="00E54AC1"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学位论文预答辩</w:t>
      </w:r>
      <w:r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制度。</w:t>
      </w:r>
      <w:r w:rsidR="00E54AC1"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论文预答辩通过</w:t>
      </w:r>
      <w:r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者，取得学位论文</w:t>
      </w:r>
      <w:r w:rsidR="00E54AC1"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提交定稿</w:t>
      </w:r>
      <w:r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的资格，可进入学位论文</w:t>
      </w:r>
      <w:r w:rsidR="00E54AC1"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答辩</w:t>
      </w:r>
      <w:r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阶段。</w:t>
      </w:r>
    </w:p>
    <w:p w14:paraId="52B4AE3F" w14:textId="42594495" w:rsidR="00761111" w:rsidRDefault="00761111" w:rsidP="00761111">
      <w:pPr>
        <w:widowControl/>
        <w:spacing w:line="360" w:lineRule="auto"/>
        <w:ind w:firstLineChars="200" w:firstLine="662"/>
      </w:pPr>
      <w:r>
        <w:rPr>
          <w:rFonts w:ascii="仿宋" w:eastAsia="仿宋" w:hAnsi="仿宋" w:cs="仿宋" w:hint="eastAsia"/>
          <w:b/>
          <w:bCs/>
          <w:color w:val="111111"/>
          <w:spacing w:val="15"/>
          <w:kern w:val="0"/>
          <w:sz w:val="30"/>
          <w:szCs w:val="30"/>
          <w:lang w:bidi="ar"/>
        </w:rPr>
        <w:t>二、</w:t>
      </w:r>
      <w:r w:rsidR="009E13C8">
        <w:rPr>
          <w:rFonts w:ascii="仿宋" w:eastAsia="仿宋" w:hAnsi="仿宋" w:cs="仿宋" w:hint="eastAsia"/>
          <w:b/>
          <w:bCs/>
          <w:color w:val="111111"/>
          <w:spacing w:val="15"/>
          <w:kern w:val="0"/>
          <w:sz w:val="30"/>
          <w:szCs w:val="30"/>
          <w:lang w:bidi="ar"/>
        </w:rPr>
        <w:t>预答辩工作安排</w:t>
      </w:r>
    </w:p>
    <w:p w14:paraId="55D04A8A" w14:textId="77777777" w:rsidR="003F4ADC" w:rsidRDefault="00761111" w:rsidP="00D8175A">
      <w:pPr>
        <w:widowControl/>
        <w:ind w:firstLineChars="200" w:firstLine="560"/>
        <w:rPr>
          <w:rFonts w:ascii="仿宋" w:eastAsia="仿宋" w:hAnsi="仿宋" w:cs="仿宋"/>
          <w:color w:val="111111"/>
          <w:spacing w:val="15"/>
          <w:kern w:val="0"/>
          <w:sz w:val="25"/>
          <w:szCs w:val="25"/>
          <w:lang w:bidi="ar"/>
        </w:rPr>
      </w:pPr>
      <w:r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（一）</w:t>
      </w:r>
      <w:r w:rsidR="00E54AC1"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学位论文预答辩</w:t>
      </w:r>
      <w:r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一般安排在</w:t>
      </w:r>
      <w:r w:rsidR="00E54AC1"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秋季学期期末</w:t>
      </w:r>
      <w:r w:rsidR="003F4ADC"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时间阶段</w:t>
      </w:r>
      <w:r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进行。</w:t>
      </w:r>
    </w:p>
    <w:p w14:paraId="4EDB7D55" w14:textId="4CC3C419" w:rsidR="003F4ADC" w:rsidRDefault="003F4ADC" w:rsidP="003F4ADC">
      <w:pPr>
        <w:widowControl/>
        <w:ind w:firstLineChars="200" w:firstLine="560"/>
        <w:rPr>
          <w:rFonts w:ascii="仿宋" w:eastAsia="仿宋" w:hAnsi="仿宋" w:cs="仿宋"/>
          <w:color w:val="111111"/>
          <w:spacing w:val="15"/>
          <w:kern w:val="0"/>
          <w:sz w:val="25"/>
          <w:szCs w:val="25"/>
          <w:lang w:bidi="ar"/>
        </w:rPr>
      </w:pPr>
      <w:r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（二）根据</w:t>
      </w:r>
      <w:r w:rsidRPr="00D8175A"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专业</w:t>
      </w:r>
      <w:r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、研究</w:t>
      </w:r>
      <w:r w:rsidRPr="00D8175A"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方向的不同，</w:t>
      </w:r>
      <w:r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参加预答辩的研究生</w:t>
      </w:r>
      <w:r w:rsidRPr="00D8175A"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随机</w:t>
      </w:r>
      <w:r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分配</w:t>
      </w:r>
      <w:r w:rsidRPr="00D8175A"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答辩组</w:t>
      </w:r>
      <w:r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。预答辩实行匿名双盲答辩制度。</w:t>
      </w:r>
    </w:p>
    <w:p w14:paraId="26FD75F2" w14:textId="5402AF94" w:rsidR="003F4ADC" w:rsidRDefault="003F4ADC" w:rsidP="003F4ADC">
      <w:pPr>
        <w:widowControl/>
        <w:ind w:firstLineChars="200" w:firstLine="560"/>
        <w:rPr>
          <w:rFonts w:ascii="仿宋" w:eastAsia="仿宋" w:hAnsi="仿宋" w:cs="仿宋"/>
          <w:color w:val="111111"/>
          <w:spacing w:val="15"/>
          <w:kern w:val="0"/>
          <w:sz w:val="25"/>
          <w:szCs w:val="25"/>
          <w:lang w:bidi="ar"/>
        </w:rPr>
      </w:pPr>
      <w:r w:rsidRPr="00734FBF"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（三）学位论文预答辩</w:t>
      </w:r>
      <w:r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专家</w:t>
      </w:r>
      <w:r w:rsidRPr="00734FBF"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组</w:t>
      </w:r>
      <w:r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一般</w:t>
      </w:r>
      <w:r w:rsidRPr="00734FBF"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由5位研究生导师组成</w:t>
      </w:r>
      <w:r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，</w:t>
      </w:r>
      <w:r w:rsidRPr="00734FBF"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设</w:t>
      </w:r>
      <w:r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答辩</w:t>
      </w:r>
      <w:r w:rsidRPr="00734FBF"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主席1人，秘书1人。</w:t>
      </w:r>
    </w:p>
    <w:p w14:paraId="44963C11" w14:textId="2A083846" w:rsidR="003F4ADC" w:rsidRDefault="003F4ADC" w:rsidP="00D8175A">
      <w:pPr>
        <w:widowControl/>
        <w:ind w:firstLineChars="200" w:firstLine="560"/>
        <w:rPr>
          <w:rFonts w:ascii="仿宋" w:eastAsia="仿宋" w:hAnsi="仿宋" w:cs="仿宋"/>
          <w:color w:val="111111"/>
          <w:spacing w:val="15"/>
          <w:kern w:val="0"/>
          <w:sz w:val="25"/>
          <w:szCs w:val="25"/>
          <w:lang w:bidi="ar"/>
        </w:rPr>
      </w:pPr>
      <w:r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（四）学位论文预答辩由各答辩专家组在学院预定</w:t>
      </w:r>
      <w:r w:rsidR="00BC3B65"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工作</w:t>
      </w:r>
      <w:r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时间范围内自行安排时间、地点。因</w:t>
      </w:r>
      <w:r w:rsidRPr="00D8175A"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疫情防控</w:t>
      </w:r>
      <w:r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等因素，预答辩可</w:t>
      </w:r>
      <w:r w:rsidRPr="00D8175A"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采取线上</w:t>
      </w:r>
      <w:r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线下集合</w:t>
      </w:r>
      <w:r w:rsidRPr="00D8175A"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方式</w:t>
      </w:r>
      <w:r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进行。预答辩工作具体安排由答辩专家组自行确定</w:t>
      </w:r>
      <w:r w:rsidR="007D2A77"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。</w:t>
      </w:r>
      <w:r w:rsidR="007D2A77" w:rsidRPr="00D8175A"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预答辩</w:t>
      </w:r>
      <w:r w:rsidR="00BC3B65"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结束后</w:t>
      </w:r>
      <w:r w:rsidR="007D2A77" w:rsidRPr="00D8175A"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预答辩</w:t>
      </w:r>
      <w:r w:rsidR="00BC3B65"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组将答辩</w:t>
      </w:r>
      <w:r w:rsidR="007D2A77" w:rsidRPr="00D8175A"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结果及相关材料报学院。</w:t>
      </w:r>
    </w:p>
    <w:p w14:paraId="03FF076F" w14:textId="2F191CFB" w:rsidR="003F4ADC" w:rsidRPr="00D8175A" w:rsidRDefault="003F4ADC" w:rsidP="003F4ADC">
      <w:pPr>
        <w:widowControl/>
        <w:spacing w:line="360" w:lineRule="auto"/>
        <w:ind w:firstLineChars="200" w:firstLine="560"/>
        <w:rPr>
          <w:rFonts w:ascii="仿宋" w:eastAsia="仿宋" w:hAnsi="仿宋" w:cs="仿宋"/>
          <w:color w:val="111111"/>
          <w:spacing w:val="15"/>
          <w:kern w:val="0"/>
          <w:sz w:val="25"/>
          <w:szCs w:val="25"/>
          <w:lang w:bidi="ar"/>
        </w:rPr>
      </w:pPr>
      <w:r w:rsidRPr="00D8175A"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(</w:t>
      </w:r>
      <w:r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五</w:t>
      </w:r>
      <w:r w:rsidRPr="00D8175A"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)预答辩</w:t>
      </w:r>
      <w:r w:rsidR="007D2A77"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中</w:t>
      </w:r>
      <w:r w:rsidR="009E13C8"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答辩</w:t>
      </w:r>
      <w:r w:rsidRPr="00D8175A"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专家组应对学位论文进行严格</w:t>
      </w:r>
      <w:r w:rsidR="007D2A77"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质量把控</w:t>
      </w:r>
      <w:r w:rsidRPr="00D8175A"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，重点</w:t>
      </w:r>
      <w:r w:rsidR="007D2A77"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关注</w:t>
      </w:r>
      <w:r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硕士</w:t>
      </w:r>
      <w:r w:rsidRPr="00D8175A"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学位论文的学术水平和创新性、论文工作量、学术规范等</w:t>
      </w:r>
      <w:r w:rsidR="007D2A77"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。需</w:t>
      </w:r>
      <w:r w:rsidR="007D2A77"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lastRenderedPageBreak/>
        <w:t>要注意</w:t>
      </w:r>
      <w:r w:rsidR="00604A52"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学术</w:t>
      </w:r>
      <w:r w:rsidR="007D2A77"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学位论文、专业硕士学位论文的不同关注点。预答辩中需要</w:t>
      </w:r>
      <w:r w:rsidRPr="00D8175A"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对论文中存在的不足和问题，提出具体</w:t>
      </w:r>
      <w:r w:rsidR="00C378FD"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、详细的</w:t>
      </w:r>
      <w:r w:rsidRPr="00D8175A"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修改意见</w:t>
      </w:r>
      <w:r w:rsidR="00C378FD"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和建议</w:t>
      </w:r>
      <w:r w:rsidRPr="00D8175A"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。</w:t>
      </w:r>
    </w:p>
    <w:p w14:paraId="04CE9D6A" w14:textId="18639B7E" w:rsidR="009E13C8" w:rsidRDefault="009E13C8" w:rsidP="009E13C8">
      <w:pPr>
        <w:widowControl/>
        <w:spacing w:line="360" w:lineRule="auto"/>
        <w:ind w:firstLineChars="200" w:firstLine="662"/>
      </w:pPr>
      <w:r>
        <w:rPr>
          <w:rFonts w:ascii="仿宋" w:eastAsia="仿宋" w:hAnsi="仿宋" w:cs="仿宋" w:hint="eastAsia"/>
          <w:b/>
          <w:bCs/>
          <w:color w:val="111111"/>
          <w:spacing w:val="15"/>
          <w:kern w:val="0"/>
          <w:sz w:val="30"/>
          <w:szCs w:val="30"/>
          <w:lang w:bidi="ar"/>
        </w:rPr>
        <w:t>三、</w:t>
      </w:r>
      <w:r w:rsidRPr="00D8175A">
        <w:rPr>
          <w:rFonts w:ascii="仿宋" w:eastAsia="仿宋" w:hAnsi="仿宋" w:cs="仿宋" w:hint="eastAsia"/>
          <w:b/>
          <w:bCs/>
          <w:color w:val="111111"/>
          <w:spacing w:val="15"/>
          <w:kern w:val="0"/>
          <w:sz w:val="30"/>
          <w:szCs w:val="30"/>
          <w:lang w:bidi="ar"/>
        </w:rPr>
        <w:t>预答辩结果及处理</w:t>
      </w:r>
    </w:p>
    <w:p w14:paraId="69CCE1FF" w14:textId="3BE3A4AF" w:rsidR="003F4ADC" w:rsidRDefault="007D2A77" w:rsidP="007D2A77">
      <w:pPr>
        <w:widowControl/>
        <w:spacing w:line="360" w:lineRule="auto"/>
        <w:ind w:firstLineChars="200" w:firstLine="560"/>
        <w:rPr>
          <w:rFonts w:ascii="仿宋" w:eastAsia="仿宋" w:hAnsi="仿宋" w:cs="仿宋"/>
          <w:color w:val="111111"/>
          <w:spacing w:val="15"/>
          <w:kern w:val="0"/>
          <w:sz w:val="25"/>
          <w:szCs w:val="25"/>
          <w:lang w:bidi="ar"/>
        </w:rPr>
      </w:pPr>
      <w:r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学位论文预答辩实行通过制度，未</w:t>
      </w:r>
      <w:r w:rsidRPr="00D8175A"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通过预答辩的</w:t>
      </w:r>
      <w:r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学生不能</w:t>
      </w:r>
      <w:r w:rsidRPr="00D8175A"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进入学位论文下一</w:t>
      </w:r>
      <w:r w:rsidR="00A25F2F"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阶段</w:t>
      </w:r>
      <w:r w:rsidRPr="00D8175A"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工作程序</w:t>
      </w:r>
      <w:r w:rsidR="009E13C8"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，不具备提交论文定稿的资格</w:t>
      </w:r>
      <w:r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。</w:t>
      </w:r>
      <w:r w:rsidRPr="00D8175A"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预答辩专家组对学位论文</w:t>
      </w:r>
      <w:r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的</w:t>
      </w:r>
      <w:r w:rsidRPr="00D8175A"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预答辩结果</w:t>
      </w:r>
      <w:r w:rsidR="00A25F2F"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包括</w:t>
      </w:r>
      <w:r w:rsidRPr="00D8175A"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“预答辩通过”</w:t>
      </w:r>
      <w:r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、</w:t>
      </w:r>
      <w:r w:rsidRPr="00D8175A"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“预答辩</w:t>
      </w:r>
      <w:r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修改后</w:t>
      </w:r>
      <w:r w:rsidRPr="00D8175A"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通过”</w:t>
      </w:r>
      <w:r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和“预答辩未通过”</w:t>
      </w:r>
      <w:r w:rsidR="00A25F2F"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。“</w:t>
      </w:r>
      <w:r w:rsidR="00A25F2F" w:rsidRPr="00D8175A"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预答辩</w:t>
      </w:r>
      <w:r w:rsidR="00A25F2F"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修改后</w:t>
      </w:r>
      <w:r w:rsidR="00A25F2F" w:rsidRPr="00D8175A"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通过</w:t>
      </w:r>
      <w:r w:rsidR="00A25F2F"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”</w:t>
      </w:r>
      <w:r w:rsidRPr="00D8175A"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的</w:t>
      </w:r>
      <w:r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学生</w:t>
      </w:r>
      <w:r w:rsidRPr="00D8175A"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必须根据预答辩专家组意见</w:t>
      </w:r>
      <w:r w:rsidR="00A25F2F"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进行细致深入修改</w:t>
      </w:r>
      <w:r w:rsidRPr="00D8175A"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，</w:t>
      </w:r>
      <w:r w:rsidR="00A25F2F"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并需提交详细修改说明，</w:t>
      </w:r>
      <w:r w:rsidRPr="00E54AC1"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经导师审阅</w:t>
      </w:r>
      <w:r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并签字</w:t>
      </w:r>
      <w:r w:rsidRPr="00E54AC1"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同意</w:t>
      </w:r>
      <w:r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后</w:t>
      </w:r>
      <w:r w:rsidR="00A25F2F"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再次返回原预答辩专家组，获得</w:t>
      </w:r>
      <w:r w:rsidR="009828F6"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专家组</w:t>
      </w:r>
      <w:r w:rsidR="00A25F2F"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同意后视为</w:t>
      </w:r>
      <w:r w:rsidR="00A25F2F" w:rsidRPr="00D8175A"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“预答辩通过”</w:t>
      </w:r>
      <w:r w:rsidR="009E13C8"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，否则视为“预答辩未通过”</w:t>
      </w:r>
      <w:r>
        <w:rPr>
          <w:rFonts w:ascii="仿宋" w:eastAsia="仿宋" w:hAnsi="仿宋" w:cs="仿宋" w:hint="eastAsia"/>
          <w:color w:val="111111"/>
          <w:spacing w:val="15"/>
          <w:kern w:val="0"/>
          <w:sz w:val="25"/>
          <w:szCs w:val="25"/>
          <w:lang w:bidi="ar"/>
        </w:rPr>
        <w:t>。</w:t>
      </w:r>
    </w:p>
    <w:p w14:paraId="67ED8EE6" w14:textId="214B804B" w:rsidR="00761111" w:rsidRDefault="009E13C8" w:rsidP="00D8175A">
      <w:pPr>
        <w:widowControl/>
        <w:spacing w:line="360" w:lineRule="auto"/>
        <w:ind w:firstLineChars="200" w:firstLine="662"/>
        <w:rPr>
          <w:rFonts w:ascii="仿宋" w:eastAsia="仿宋" w:hAnsi="仿宋" w:cs="仿宋"/>
          <w:b/>
          <w:bCs/>
          <w:color w:val="111111"/>
          <w:spacing w:val="15"/>
          <w:kern w:val="0"/>
          <w:sz w:val="30"/>
          <w:szCs w:val="30"/>
          <w:lang w:bidi="ar"/>
        </w:rPr>
      </w:pPr>
      <w:r>
        <w:rPr>
          <w:rFonts w:ascii="仿宋" w:eastAsia="仿宋" w:hAnsi="仿宋" w:cs="仿宋" w:hint="eastAsia"/>
          <w:b/>
          <w:bCs/>
          <w:color w:val="111111"/>
          <w:spacing w:val="15"/>
          <w:kern w:val="0"/>
          <w:sz w:val="30"/>
          <w:szCs w:val="30"/>
          <w:lang w:bidi="ar"/>
        </w:rPr>
        <w:t>四</w:t>
      </w:r>
      <w:r w:rsidR="00761111">
        <w:rPr>
          <w:rFonts w:ascii="仿宋" w:eastAsia="仿宋" w:hAnsi="仿宋" w:cs="仿宋" w:hint="eastAsia"/>
          <w:b/>
          <w:bCs/>
          <w:color w:val="111111"/>
          <w:spacing w:val="15"/>
          <w:kern w:val="0"/>
          <w:sz w:val="30"/>
          <w:szCs w:val="30"/>
          <w:lang w:bidi="ar"/>
        </w:rPr>
        <w:t>、本办法的解释权归西南</w:t>
      </w:r>
      <w:bookmarkStart w:id="2" w:name="_GoBack"/>
      <w:bookmarkEnd w:id="2"/>
      <w:r w:rsidR="00761111">
        <w:rPr>
          <w:rFonts w:ascii="仿宋" w:eastAsia="仿宋" w:hAnsi="仿宋" w:cs="仿宋" w:hint="eastAsia"/>
          <w:b/>
          <w:bCs/>
          <w:color w:val="111111"/>
          <w:spacing w:val="15"/>
          <w:kern w:val="0"/>
          <w:sz w:val="30"/>
          <w:szCs w:val="30"/>
          <w:lang w:bidi="ar"/>
        </w:rPr>
        <w:t>财经大学会计学院。</w:t>
      </w:r>
    </w:p>
    <w:p w14:paraId="71BA6F9A" w14:textId="18586700" w:rsidR="00D8175A" w:rsidRDefault="00D8175A" w:rsidP="00D8175A">
      <w:pPr>
        <w:widowControl/>
        <w:spacing w:line="360" w:lineRule="auto"/>
        <w:ind w:firstLineChars="200" w:firstLine="662"/>
        <w:rPr>
          <w:rFonts w:ascii="仿宋" w:eastAsia="仿宋" w:hAnsi="仿宋" w:cs="仿宋"/>
          <w:b/>
          <w:bCs/>
          <w:color w:val="111111"/>
          <w:spacing w:val="15"/>
          <w:kern w:val="0"/>
          <w:sz w:val="30"/>
          <w:szCs w:val="30"/>
          <w:lang w:bidi="ar"/>
        </w:rPr>
      </w:pPr>
    </w:p>
    <w:p w14:paraId="12742ED0" w14:textId="77777777" w:rsidR="00D8175A" w:rsidRPr="00D8175A" w:rsidRDefault="00D8175A" w:rsidP="00D8175A">
      <w:pPr>
        <w:widowControl/>
        <w:spacing w:line="360" w:lineRule="auto"/>
        <w:ind w:firstLineChars="200" w:firstLine="420"/>
      </w:pPr>
    </w:p>
    <w:p w14:paraId="1F900D3C" w14:textId="0E34A3CD" w:rsidR="00761111" w:rsidRDefault="00761111" w:rsidP="00D8175A">
      <w:pPr>
        <w:widowControl/>
        <w:spacing w:line="360" w:lineRule="auto"/>
        <w:ind w:firstLineChars="1000" w:firstLine="3100"/>
        <w:jc w:val="right"/>
        <w:rPr>
          <w:rFonts w:ascii="仿宋" w:eastAsia="仿宋" w:hAnsi="仿宋" w:cs="仿宋"/>
          <w:color w:val="111111"/>
          <w:spacing w:val="15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111111"/>
          <w:spacing w:val="15"/>
          <w:kern w:val="0"/>
          <w:sz w:val="28"/>
          <w:szCs w:val="28"/>
          <w:lang w:bidi="ar"/>
        </w:rPr>
        <w:t>西南财经大学会计学院</w:t>
      </w:r>
    </w:p>
    <w:p w14:paraId="74587E0D" w14:textId="6268BF3B" w:rsidR="00761111" w:rsidRPr="004502D7" w:rsidRDefault="00761111" w:rsidP="00D8175A">
      <w:pPr>
        <w:widowControl/>
        <w:spacing w:line="360" w:lineRule="auto"/>
        <w:ind w:firstLineChars="1300" w:firstLine="4030"/>
        <w:jc w:val="right"/>
      </w:pPr>
      <w:r>
        <w:rPr>
          <w:rFonts w:ascii="仿宋" w:eastAsia="仿宋" w:hAnsi="仿宋" w:cs="仿宋"/>
          <w:color w:val="111111"/>
          <w:spacing w:val="15"/>
          <w:kern w:val="0"/>
          <w:sz w:val="28"/>
          <w:szCs w:val="28"/>
          <w:lang w:bidi="ar"/>
        </w:rPr>
        <w:t>二〇二一年</w:t>
      </w:r>
      <w:r w:rsidR="00D8175A">
        <w:rPr>
          <w:rFonts w:ascii="仿宋" w:eastAsia="仿宋" w:hAnsi="仿宋" w:cs="仿宋" w:hint="eastAsia"/>
          <w:color w:val="111111"/>
          <w:spacing w:val="15"/>
          <w:kern w:val="0"/>
          <w:sz w:val="28"/>
          <w:szCs w:val="28"/>
          <w:lang w:bidi="ar"/>
        </w:rPr>
        <w:t>十二</w:t>
      </w:r>
      <w:r>
        <w:rPr>
          <w:rFonts w:ascii="仿宋" w:eastAsia="仿宋" w:hAnsi="仿宋" w:cs="仿宋"/>
          <w:color w:val="111111"/>
          <w:spacing w:val="15"/>
          <w:kern w:val="0"/>
          <w:sz w:val="28"/>
          <w:szCs w:val="28"/>
          <w:lang w:bidi="ar"/>
        </w:rPr>
        <w:t>月</w:t>
      </w:r>
      <w:r w:rsidR="00D8175A">
        <w:rPr>
          <w:rFonts w:ascii="仿宋" w:eastAsia="仿宋" w:hAnsi="仿宋" w:cs="仿宋" w:hint="eastAsia"/>
          <w:color w:val="111111"/>
          <w:spacing w:val="15"/>
          <w:kern w:val="0"/>
          <w:sz w:val="28"/>
          <w:szCs w:val="28"/>
          <w:lang w:bidi="ar"/>
        </w:rPr>
        <w:t>二十</w:t>
      </w:r>
      <w:r w:rsidR="00284B44">
        <w:rPr>
          <w:rFonts w:ascii="仿宋" w:eastAsia="仿宋" w:hAnsi="仿宋" w:cs="仿宋" w:hint="eastAsia"/>
          <w:color w:val="111111"/>
          <w:spacing w:val="15"/>
          <w:kern w:val="0"/>
          <w:sz w:val="28"/>
          <w:szCs w:val="28"/>
          <w:lang w:bidi="ar"/>
        </w:rPr>
        <w:t>七</w:t>
      </w:r>
      <w:r>
        <w:rPr>
          <w:rFonts w:ascii="仿宋" w:eastAsia="仿宋" w:hAnsi="仿宋" w:cs="仿宋"/>
          <w:color w:val="111111"/>
          <w:spacing w:val="15"/>
          <w:kern w:val="0"/>
          <w:sz w:val="28"/>
          <w:szCs w:val="28"/>
          <w:lang w:bidi="ar"/>
        </w:rPr>
        <w:t>日</w:t>
      </w:r>
    </w:p>
    <w:p w14:paraId="01E8AEF7" w14:textId="77777777" w:rsidR="00A1711C" w:rsidRDefault="00A1711C"/>
    <w:sectPr w:rsidR="00A1711C" w:rsidSect="0053634D">
      <w:pgSz w:w="11906" w:h="16838"/>
      <w:pgMar w:top="1560" w:right="1700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485DE" w14:textId="77777777" w:rsidR="0032130B" w:rsidRDefault="0032130B" w:rsidP="00761111">
      <w:r>
        <w:separator/>
      </w:r>
    </w:p>
  </w:endnote>
  <w:endnote w:type="continuationSeparator" w:id="0">
    <w:p w14:paraId="7A5EFBF5" w14:textId="77777777" w:rsidR="0032130B" w:rsidRDefault="0032130B" w:rsidP="00761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35D25" w14:textId="77777777" w:rsidR="0032130B" w:rsidRDefault="0032130B" w:rsidP="00761111">
      <w:r>
        <w:separator/>
      </w:r>
    </w:p>
  </w:footnote>
  <w:footnote w:type="continuationSeparator" w:id="0">
    <w:p w14:paraId="0DBCA5CE" w14:textId="77777777" w:rsidR="0032130B" w:rsidRDefault="0032130B" w:rsidP="00761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230"/>
    <w:rsid w:val="00284B44"/>
    <w:rsid w:val="0032130B"/>
    <w:rsid w:val="003F4ADC"/>
    <w:rsid w:val="004548C3"/>
    <w:rsid w:val="004E7A65"/>
    <w:rsid w:val="004F4230"/>
    <w:rsid w:val="00604A52"/>
    <w:rsid w:val="006A5EFD"/>
    <w:rsid w:val="00734FBF"/>
    <w:rsid w:val="00761111"/>
    <w:rsid w:val="007D2A77"/>
    <w:rsid w:val="009828F6"/>
    <w:rsid w:val="009E13C8"/>
    <w:rsid w:val="00A1711C"/>
    <w:rsid w:val="00A25F2F"/>
    <w:rsid w:val="00BC3B65"/>
    <w:rsid w:val="00C246BA"/>
    <w:rsid w:val="00C378FD"/>
    <w:rsid w:val="00D8175A"/>
    <w:rsid w:val="00DF2EF8"/>
    <w:rsid w:val="00E149B1"/>
    <w:rsid w:val="00E54AC1"/>
    <w:rsid w:val="00E7495E"/>
    <w:rsid w:val="00EC2AD4"/>
    <w:rsid w:val="00F1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C41B5A"/>
  <w15:chartTrackingRefBased/>
  <w15:docId w15:val="{1225DCFC-C6F0-44BF-BAF3-0A39C63E0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1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1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11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11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1111"/>
    <w:rPr>
      <w:sz w:val="18"/>
      <w:szCs w:val="18"/>
    </w:rPr>
  </w:style>
  <w:style w:type="paragraph" w:customStyle="1" w:styleId="Style5">
    <w:name w:val="_Style 5"/>
    <w:basedOn w:val="a"/>
    <w:next w:val="a"/>
    <w:rsid w:val="00761111"/>
    <w:pPr>
      <w:pBdr>
        <w:bottom w:val="single" w:sz="6" w:space="1" w:color="auto"/>
      </w:pBdr>
      <w:jc w:val="center"/>
    </w:pPr>
    <w:rPr>
      <w:rFonts w:ascii="Arial" w:hAnsiTheme="minorHAnsi" w:cstheme="minorBidi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6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又瑜</dc:creator>
  <cp:keywords/>
  <dc:description/>
  <cp:lastModifiedBy>张宇阁</cp:lastModifiedBy>
  <cp:revision>3</cp:revision>
  <dcterms:created xsi:type="dcterms:W3CDTF">2021-12-27T02:40:00Z</dcterms:created>
  <dcterms:modified xsi:type="dcterms:W3CDTF">2021-12-31T03:01:00Z</dcterms:modified>
</cp:coreProperties>
</file>