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3E" w:rsidRPr="006B344C" w:rsidRDefault="0045243E" w:rsidP="004B3025">
      <w:pPr>
        <w:pStyle w:val="2"/>
        <w:spacing w:beforeLines="0" w:before="0" w:afterLines="0" w:after="0" w:line="329" w:lineRule="auto"/>
      </w:pPr>
      <w:r w:rsidRPr="006B344C">
        <w:rPr>
          <w:rFonts w:hint="eastAsia"/>
        </w:rPr>
        <w:t>西南财经大学本科交流学生课程认定及学分转换办法</w:t>
      </w:r>
    </w:p>
    <w:p w:rsidR="0045243E" w:rsidRPr="006B344C" w:rsidRDefault="0045243E" w:rsidP="004B3025">
      <w:pPr>
        <w:spacing w:line="329" w:lineRule="auto"/>
        <w:ind w:firstLineChars="200" w:firstLine="480"/>
        <w:rPr>
          <w:rFonts w:ascii="Times New Roman" w:hAnsi="Times New Roman" w:cs="Times New Roman"/>
          <w:sz w:val="24"/>
          <w:szCs w:val="24"/>
        </w:rPr>
      </w:pPr>
    </w:p>
    <w:p w:rsidR="0045243E" w:rsidRPr="006B344C" w:rsidRDefault="0045243E"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第一条</w:t>
      </w:r>
      <w:r w:rsidRPr="006B344C">
        <w:rPr>
          <w:rFonts w:ascii="Times New Roman" w:hAnsi="Times New Roman" w:cs="Times New Roman" w:hint="eastAsia"/>
          <w:sz w:val="24"/>
          <w:szCs w:val="24"/>
        </w:rPr>
        <w:t xml:space="preserve"> </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为充分运用国内外高水平大学优质教学资源，规范交流学生的课程认定及学分转换，依据《西南财经大学本科学籍管理规定》，制定本办法。</w:t>
      </w:r>
    </w:p>
    <w:p w:rsidR="0045243E" w:rsidRPr="006B344C" w:rsidRDefault="0045243E"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第二条</w:t>
      </w:r>
      <w:r w:rsidRPr="006B344C">
        <w:rPr>
          <w:rFonts w:ascii="Times New Roman" w:hAnsi="Times New Roman" w:cs="Times New Roman" w:hint="eastAsia"/>
          <w:sz w:val="24"/>
          <w:szCs w:val="24"/>
        </w:rPr>
        <w:t xml:space="preserve"> </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到国（境）外高校交流学生课程修读及认定</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（一）按照规定备案的学生外出交流学习项目，学生所修课程及学分按照本办法予以认定。若项目未备案，交流期间所修课程学分不予认可。</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（二）由学校安排的学生社会实践活动，可根据实际情况认定为实践学分。</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（三）原则上短期交流学习（学时</w:t>
      </w:r>
      <w:r w:rsidRPr="006B344C">
        <w:rPr>
          <w:rFonts w:ascii="Times New Roman" w:hAnsi="Times New Roman" w:cs="Times New Roman"/>
          <w:sz w:val="24"/>
          <w:szCs w:val="24"/>
        </w:rPr>
        <w:t>&lt;16</w:t>
      </w:r>
      <w:r w:rsidRPr="006B344C">
        <w:rPr>
          <w:rFonts w:ascii="Times New Roman" w:hAnsi="Times New Roman" w:cs="Times New Roman" w:hint="eastAsia"/>
          <w:sz w:val="24"/>
          <w:szCs w:val="24"/>
        </w:rPr>
        <w:t>）不作学分认定。</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不获得对方学校毕业证书和学位证书的项目，学生申请赴对方学校交流学习之前，应根据项目主办单位提供的交流学习学校相应学期的课程清单，由学生所在学院对照我校的专业培养方案，提出学生必须修学的课程及完成交换学习后需回校补修的课程，形成课程对接计划，并在交流生管理系统备案（</w:t>
      </w:r>
      <w:r w:rsidRPr="006B344C">
        <w:rPr>
          <w:rFonts w:ascii="Times New Roman" w:hAnsi="Times New Roman" w:cs="Times New Roman"/>
          <w:sz w:val="24"/>
          <w:szCs w:val="24"/>
        </w:rPr>
        <w:t>jhs.swufe.edu.cn</w:t>
      </w:r>
      <w:r w:rsidRPr="006B344C">
        <w:rPr>
          <w:rFonts w:ascii="Times New Roman" w:hAnsi="Times New Roman" w:cs="Times New Roman" w:hint="eastAsia"/>
          <w:sz w:val="24"/>
          <w:szCs w:val="24"/>
        </w:rPr>
        <w:t>）。在交换学习期间，除修读学院指定应选修的课程外，学生还可根据自己的学习状况，修读其它课程。</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根据交流学生所修读课程的内容，由我校参照交流学生所在年级专业人才培养方案认定其课程属性及学分。交流学习课程由学院（中心）认定报教务处审核批准转换。</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（五）如果对方学校课程设置与我校有较大差异，对于学院认定必须补修的课程，学生在交流学习结束后回校补修。</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在交流学习期间错过政治理论课的学生，返校后需注册参加课程补修。</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（六）交流项目除特殊要求外（如暑期学校项目），学生交流学习期间修读课程数量原则上不应少于每学期四门。</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（七）双学位交流（联合培养）项目的课程认定与学分转换根据项目协议执行。</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（八）以自费出国留学形式赴国（境）外大学学习、实习的学生，自办理离校手续之日起，可申请保留一年学籍，但保留学籍期间学生所修课程及学分不予认可。</w:t>
      </w:r>
    </w:p>
    <w:p w:rsidR="0045243E" w:rsidRPr="006B344C" w:rsidRDefault="0045243E"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第三条</w:t>
      </w:r>
      <w:r w:rsidRPr="006B344C">
        <w:rPr>
          <w:rFonts w:ascii="Times New Roman" w:hAnsi="Times New Roman" w:cs="Times New Roman" w:hint="eastAsia"/>
          <w:sz w:val="24"/>
          <w:szCs w:val="24"/>
        </w:rPr>
        <w:t xml:space="preserve"> </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到境内高校交流的学生课程修读及认定</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（一）交流学生派出前，由项目主办单位负责联系学生所在学院（中心）根据我校的人才培养方案和交流学校的人才培养方案帮助学生选课，形成课程对接计划。</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（二）学生应按课程对接计划修满与本校相对等的学时，未完成计划的交流学生，由学院（中心）指定需补修的课程；多修的课程可认定为自由选修课学分；内容相同的一门课程只能认定一次学分。</w:t>
      </w:r>
    </w:p>
    <w:p w:rsidR="0045243E" w:rsidRPr="006B344C" w:rsidRDefault="0045243E"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到国（境）外高校交流学习的课程学分及成绩认定</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交流学生根据对方学校出具的成绩单申请课程学分和成绩的转换。未申请转换的课程不纳入我校学生个人成绩单，不计算学分绩点。单门课程学分不能拆分认定。学分转换一次性完成，原则上不得多次转换。一门课程最高认定</w:t>
      </w:r>
      <w:r w:rsidRPr="006B344C">
        <w:rPr>
          <w:rFonts w:ascii="Times New Roman" w:hAnsi="Times New Roman" w:cs="Times New Roman"/>
          <w:sz w:val="24"/>
          <w:szCs w:val="24"/>
        </w:rPr>
        <w:t>5</w:t>
      </w:r>
      <w:r w:rsidRPr="006B344C">
        <w:rPr>
          <w:rFonts w:ascii="Times New Roman" w:hAnsi="Times New Roman" w:cs="Times New Roman" w:hint="eastAsia"/>
          <w:sz w:val="24"/>
          <w:szCs w:val="24"/>
        </w:rPr>
        <w:t>个学分。</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（二）学分认定及转换</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学生申请认定的课程名称统一为“交流学习课程”，其课程属性参照交流学生所在专业年级人才培养方案分别归类，要求认定的课程成绩按不同属性转换为百分制成绩，认定学分的多少由学院根据学生学习课程的情况决定；如果交流学校双方对学生应完成学分的要求不一致，各学院可按我校要求的总学分与对方学校的毕业总学分进行折算</w:t>
      </w:r>
      <w:hyperlink r:id="rId4" w:anchor="_ftn2" w:history="1">
        <w:r w:rsidRPr="006B344C">
          <w:rPr>
            <w:rStyle w:val="a3"/>
            <w:rFonts w:ascii="Times New Roman" w:hAnsi="Times New Roman" w:cs="Times New Roman"/>
            <w:sz w:val="24"/>
            <w:szCs w:val="24"/>
            <w:vertAlign w:val="superscript"/>
          </w:rPr>
          <w:t>[1]</w:t>
        </w:r>
      </w:hyperlink>
      <w:r w:rsidRPr="006B344C">
        <w:rPr>
          <w:rFonts w:ascii="Times New Roman" w:hAnsi="Times New Roman" w:cs="Times New Roman" w:hint="eastAsia"/>
          <w:sz w:val="24"/>
          <w:szCs w:val="24"/>
        </w:rPr>
        <w:t>。</w:t>
      </w:r>
      <w:r w:rsidRPr="006B344C">
        <w:rPr>
          <w:rFonts w:ascii="Times New Roman" w:hAnsi="Times New Roman" w:cs="Times New Roman"/>
          <w:sz w:val="24"/>
          <w:szCs w:val="24"/>
        </w:rPr>
        <w:t xml:space="preserve"> </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实践性课程的学分认定原则上每一个月认定</w:t>
      </w:r>
      <w:r w:rsidRPr="006B344C">
        <w:rPr>
          <w:rFonts w:ascii="Times New Roman" w:hAnsi="Times New Roman" w:cs="Times New Roman"/>
          <w:sz w:val="24"/>
          <w:szCs w:val="24"/>
        </w:rPr>
        <w:t>1</w:t>
      </w:r>
      <w:r w:rsidRPr="006B344C">
        <w:rPr>
          <w:rFonts w:ascii="Times New Roman" w:hAnsi="Times New Roman" w:cs="Times New Roman" w:hint="eastAsia"/>
          <w:sz w:val="24"/>
          <w:szCs w:val="24"/>
        </w:rPr>
        <w:t>个学分，认定的实践类学分总计不超过</w:t>
      </w:r>
      <w:r w:rsidRPr="006B344C">
        <w:rPr>
          <w:rFonts w:ascii="Times New Roman" w:hAnsi="Times New Roman" w:cs="Times New Roman"/>
          <w:sz w:val="24"/>
          <w:szCs w:val="24"/>
        </w:rPr>
        <w:t>8</w:t>
      </w:r>
      <w:r w:rsidRPr="006B344C">
        <w:rPr>
          <w:rFonts w:ascii="Times New Roman" w:hAnsi="Times New Roman" w:cs="Times New Roman" w:hint="eastAsia"/>
          <w:sz w:val="24"/>
          <w:szCs w:val="24"/>
        </w:rPr>
        <w:t>个学分。实践学分的认定由各学院提出初步认定方案，报教务处审批。</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认定后的课程成绩纳入学生学分绩点的计算。</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（三）成绩认定及转换</w:t>
      </w:r>
      <w:r w:rsidRPr="006B344C">
        <w:rPr>
          <w:rFonts w:ascii="Times New Roman" w:hAnsi="Times New Roman" w:cs="Times New Roman"/>
          <w:sz w:val="24"/>
          <w:szCs w:val="24"/>
        </w:rPr>
        <w:t xml:space="preserve"> </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成绩认定及转换分以下四种情况处理：</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1</w:t>
      </w:r>
      <w:r w:rsidRPr="006B344C">
        <w:rPr>
          <w:rFonts w:ascii="Times New Roman" w:hAnsi="Times New Roman" w:cs="Times New Roman" w:hint="eastAsia"/>
          <w:sz w:val="24"/>
          <w:szCs w:val="24"/>
        </w:rPr>
        <w:t>．如果学生在对方学校所修课程成绩以百分制形式登录，则按对方学校给出的百分制成绩如实登录。原则上课程成绩转换最高不超过</w:t>
      </w:r>
      <w:r w:rsidRPr="006B344C">
        <w:rPr>
          <w:rFonts w:ascii="Times New Roman" w:hAnsi="Times New Roman" w:cs="Times New Roman"/>
          <w:sz w:val="24"/>
          <w:szCs w:val="24"/>
        </w:rPr>
        <w:t>95</w:t>
      </w:r>
      <w:r w:rsidRPr="006B344C">
        <w:rPr>
          <w:rFonts w:ascii="Times New Roman" w:hAnsi="Times New Roman" w:cs="Times New Roman" w:hint="eastAsia"/>
          <w:sz w:val="24"/>
          <w:szCs w:val="24"/>
        </w:rPr>
        <w:t>分。</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2</w:t>
      </w:r>
      <w:r w:rsidRPr="006B344C">
        <w:rPr>
          <w:rFonts w:ascii="Times New Roman" w:hAnsi="Times New Roman" w:cs="Times New Roman" w:hint="eastAsia"/>
          <w:sz w:val="24"/>
          <w:szCs w:val="24"/>
        </w:rPr>
        <w:t>．如果学生在对方学校所修课程成绩以</w:t>
      </w:r>
      <w:r w:rsidRPr="006B344C">
        <w:rPr>
          <w:rFonts w:ascii="Times New Roman" w:hAnsi="Times New Roman" w:cs="Times New Roman"/>
          <w:sz w:val="24"/>
          <w:szCs w:val="24"/>
        </w:rPr>
        <w:t>5</w:t>
      </w:r>
      <w:r w:rsidRPr="006B344C">
        <w:rPr>
          <w:rFonts w:ascii="Times New Roman" w:hAnsi="Times New Roman" w:cs="Times New Roman" w:hint="eastAsia"/>
          <w:sz w:val="24"/>
          <w:szCs w:val="24"/>
        </w:rPr>
        <w:t>分制、“</w:t>
      </w:r>
      <w:r w:rsidRPr="006B344C">
        <w:rPr>
          <w:rFonts w:ascii="Times New Roman" w:hAnsi="Times New Roman" w:cs="Times New Roman" w:hint="eastAsia"/>
          <w:sz w:val="24"/>
          <w:szCs w:val="24"/>
        </w:rPr>
        <w:t>A</w:t>
      </w:r>
      <w:r w:rsidRPr="006B344C">
        <w:rPr>
          <w:rFonts w:ascii="Times New Roman" w:hAnsi="Times New Roman" w:cs="Times New Roman" w:hint="eastAsia"/>
          <w:sz w:val="24"/>
          <w:szCs w:val="24"/>
        </w:rPr>
        <w:t>、</w:t>
      </w:r>
      <w:r w:rsidRPr="006B344C">
        <w:rPr>
          <w:rFonts w:ascii="Times New Roman" w:hAnsi="Times New Roman" w:cs="Times New Roman"/>
          <w:sz w:val="24"/>
          <w:szCs w:val="24"/>
        </w:rPr>
        <w:t>B</w:t>
      </w:r>
      <w:r w:rsidRPr="006B344C">
        <w:rPr>
          <w:rFonts w:ascii="Times New Roman" w:hAnsi="Times New Roman" w:cs="Times New Roman" w:hint="eastAsia"/>
          <w:sz w:val="24"/>
          <w:szCs w:val="24"/>
        </w:rPr>
        <w:t>、</w:t>
      </w:r>
      <w:r w:rsidRPr="006B344C">
        <w:rPr>
          <w:rFonts w:ascii="Times New Roman" w:hAnsi="Times New Roman" w:cs="Times New Roman"/>
          <w:sz w:val="24"/>
          <w:szCs w:val="24"/>
        </w:rPr>
        <w:t>C</w:t>
      </w:r>
      <w:r w:rsidRPr="006B344C">
        <w:rPr>
          <w:rFonts w:ascii="Times New Roman" w:hAnsi="Times New Roman" w:cs="Times New Roman" w:hint="eastAsia"/>
          <w:sz w:val="24"/>
          <w:szCs w:val="24"/>
        </w:rPr>
        <w:t>、</w:t>
      </w:r>
      <w:r w:rsidRPr="006B344C">
        <w:rPr>
          <w:rFonts w:ascii="Times New Roman" w:hAnsi="Times New Roman" w:cs="Times New Roman"/>
          <w:sz w:val="24"/>
          <w:szCs w:val="24"/>
        </w:rPr>
        <w:t>D</w:t>
      </w:r>
      <w:r w:rsidRPr="006B344C">
        <w:rPr>
          <w:rFonts w:ascii="Times New Roman" w:hAnsi="Times New Roman" w:cs="Times New Roman" w:hint="eastAsia"/>
          <w:sz w:val="24"/>
          <w:szCs w:val="24"/>
        </w:rPr>
        <w:t>、</w:t>
      </w:r>
      <w:r w:rsidRPr="006B344C">
        <w:rPr>
          <w:rFonts w:ascii="Times New Roman" w:hAnsi="Times New Roman" w:cs="Times New Roman"/>
          <w:sz w:val="24"/>
          <w:szCs w:val="24"/>
        </w:rPr>
        <w:t>E</w:t>
      </w:r>
      <w:r w:rsidRPr="006B344C">
        <w:rPr>
          <w:rFonts w:ascii="Times New Roman" w:hAnsi="Times New Roman" w:cs="Times New Roman"/>
          <w:sz w:val="24"/>
          <w:szCs w:val="24"/>
        </w:rPr>
        <w:t>制</w:t>
      </w:r>
      <w:r w:rsidRPr="006B344C">
        <w:rPr>
          <w:rFonts w:ascii="Times New Roman" w:hAnsi="Times New Roman" w:cs="Times New Roman" w:hint="eastAsia"/>
          <w:sz w:val="24"/>
          <w:szCs w:val="24"/>
        </w:rPr>
        <w:t>或“优、良、中、及格、不及格”等以等级的形式记载，则按照对方学校与我校成绩等级、百分制成绩以及平均学分绩点的对应关系，根据具体情况转换为我校相应的百分制成绩。</w:t>
      </w:r>
    </w:p>
    <w:p w:rsidR="0045243E" w:rsidRPr="006B344C" w:rsidRDefault="0045243E" w:rsidP="004B3025">
      <w:pPr>
        <w:topLinePunct/>
        <w:snapToGrid w:val="0"/>
        <w:spacing w:line="329" w:lineRule="auto"/>
        <w:ind w:firstLine="482"/>
        <w:jc w:val="center"/>
        <w:rPr>
          <w:rFonts w:ascii="Times New Roman" w:hAnsi="Times New Roman" w:cs="Times New Roman"/>
          <w:b/>
          <w:bCs/>
          <w:snapToGrid w:val="0"/>
          <w:sz w:val="24"/>
          <w:szCs w:val="24"/>
          <w:lang w:eastAsia="zh-TW"/>
        </w:rPr>
      </w:pPr>
      <w:r w:rsidRPr="006B344C">
        <w:rPr>
          <w:rFonts w:ascii="Times New Roman" w:hAnsi="Times New Roman" w:cs="Times New Roman" w:hint="eastAsia"/>
          <w:b/>
          <w:bCs/>
          <w:snapToGrid w:val="0"/>
          <w:sz w:val="24"/>
          <w:szCs w:val="24"/>
        </w:rPr>
        <w:t>表</w:t>
      </w:r>
      <w:r w:rsidRPr="006B344C">
        <w:rPr>
          <w:rFonts w:ascii="Times New Roman" w:hAnsi="Times New Roman" w:cs="Times New Roman"/>
          <w:b/>
          <w:bCs/>
          <w:snapToGrid w:val="0"/>
          <w:sz w:val="24"/>
          <w:szCs w:val="24"/>
        </w:rPr>
        <w:t xml:space="preserve">1 </w:t>
      </w:r>
      <w:r w:rsidRPr="006B344C">
        <w:rPr>
          <w:rFonts w:ascii="Times New Roman" w:hAnsi="Times New Roman" w:cs="Times New Roman" w:hint="eastAsia"/>
          <w:b/>
          <w:bCs/>
          <w:snapToGrid w:val="0"/>
          <w:sz w:val="24"/>
          <w:szCs w:val="24"/>
        </w:rPr>
        <w:t> </w:t>
      </w:r>
      <w:r w:rsidRPr="006B344C">
        <w:rPr>
          <w:rFonts w:ascii="Times New Roman" w:hAnsi="Times New Roman" w:cs="Times New Roman" w:hint="eastAsia"/>
          <w:b/>
          <w:bCs/>
          <w:snapToGrid w:val="0"/>
          <w:sz w:val="24"/>
          <w:szCs w:val="24"/>
        </w:rPr>
        <w:t>等级制成绩换算表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9"/>
        <w:gridCol w:w="778"/>
        <w:gridCol w:w="780"/>
        <w:gridCol w:w="779"/>
        <w:gridCol w:w="781"/>
        <w:gridCol w:w="779"/>
        <w:gridCol w:w="781"/>
        <w:gridCol w:w="779"/>
        <w:gridCol w:w="781"/>
        <w:gridCol w:w="779"/>
        <w:gridCol w:w="781"/>
        <w:gridCol w:w="779"/>
      </w:tblGrid>
      <w:tr w:rsidR="0045243E" w:rsidRPr="006B344C" w:rsidTr="00EB08D3">
        <w:trPr>
          <w:cantSplit/>
          <w:trHeight w:val="603"/>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hint="eastAsia"/>
                <w:b/>
                <w:snapToGrid w:val="0"/>
                <w:sz w:val="24"/>
                <w:szCs w:val="24"/>
              </w:rPr>
              <w:t>成绩</w:t>
            </w:r>
          </w:p>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hint="eastAsia"/>
                <w:b/>
                <w:snapToGrid w:val="0"/>
                <w:sz w:val="24"/>
                <w:szCs w:val="24"/>
              </w:rPr>
              <w:t>等级</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A+</w:t>
            </w: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A</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A-</w:t>
            </w: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B+</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B</w:t>
            </w: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B-</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C</w:t>
            </w:r>
            <w:r w:rsidRPr="006B344C">
              <w:rPr>
                <w:rFonts w:ascii="Times New Roman" w:hAnsi="Times New Roman" w:cs="Times New Roman" w:hint="eastAsia"/>
                <w:b/>
                <w:snapToGrid w:val="0"/>
                <w:sz w:val="24"/>
                <w:szCs w:val="24"/>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C</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C-</w:t>
            </w: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D</w:t>
            </w:r>
            <w:r w:rsidRPr="006B344C">
              <w:rPr>
                <w:rFonts w:ascii="Times New Roman" w:hAnsi="Times New Roman" w:cs="Times New Roman" w:hint="eastAsia"/>
                <w:b/>
                <w:snapToGrid w:val="0"/>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D</w:t>
            </w:r>
          </w:p>
        </w:tc>
      </w:tr>
      <w:tr w:rsidR="0045243E" w:rsidRPr="006B344C" w:rsidTr="00EB08D3">
        <w:trPr>
          <w:cantSplit/>
          <w:trHeight w:val="891"/>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hint="eastAsia"/>
                <w:snapToGrid w:val="0"/>
                <w:sz w:val="24"/>
                <w:szCs w:val="24"/>
              </w:rPr>
              <w:t>百分制成绩</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95</w:t>
            </w: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92</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88</w:t>
            </w: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85</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80</w:t>
            </w: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77</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75</w:t>
            </w: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70</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67</w:t>
            </w: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65</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60</w:t>
            </w:r>
          </w:p>
        </w:tc>
      </w:tr>
      <w:tr w:rsidR="0045243E" w:rsidRPr="006B344C" w:rsidTr="00EB08D3">
        <w:trPr>
          <w:cantSplit/>
          <w:trHeight w:val="603"/>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hint="eastAsia"/>
                <w:b/>
                <w:snapToGrid w:val="0"/>
                <w:sz w:val="24"/>
                <w:szCs w:val="24"/>
              </w:rPr>
              <w:t>成绩</w:t>
            </w:r>
          </w:p>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hint="eastAsia"/>
                <w:b/>
                <w:snapToGrid w:val="0"/>
                <w:sz w:val="24"/>
                <w:szCs w:val="24"/>
              </w:rPr>
              <w:t>等级</w:t>
            </w:r>
          </w:p>
        </w:tc>
        <w:tc>
          <w:tcPr>
            <w:tcW w:w="672"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A</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A-</w:t>
            </w: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B+</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B</w:t>
            </w: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B-</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C</w:t>
            </w:r>
            <w:r w:rsidRPr="006B344C">
              <w:rPr>
                <w:rFonts w:ascii="Times New Roman" w:hAnsi="Times New Roman" w:cs="Times New Roman" w:hint="eastAsia"/>
                <w:b/>
                <w:snapToGrid w:val="0"/>
                <w:sz w:val="24"/>
                <w:szCs w:val="24"/>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C</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C-</w:t>
            </w: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D</w:t>
            </w:r>
            <w:r w:rsidRPr="006B344C">
              <w:rPr>
                <w:rFonts w:ascii="Times New Roman" w:hAnsi="Times New Roman" w:cs="Times New Roman" w:hint="eastAsia"/>
                <w:b/>
                <w:snapToGrid w:val="0"/>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b/>
                <w:snapToGrid w:val="0"/>
                <w:sz w:val="24"/>
                <w:szCs w:val="24"/>
              </w:rPr>
            </w:pPr>
            <w:r w:rsidRPr="006B344C">
              <w:rPr>
                <w:rFonts w:ascii="Times New Roman" w:hAnsi="Times New Roman" w:cs="Times New Roman"/>
                <w:b/>
                <w:snapToGrid w:val="0"/>
                <w:sz w:val="24"/>
                <w:szCs w:val="24"/>
              </w:rPr>
              <w:t>D</w:t>
            </w:r>
          </w:p>
        </w:tc>
      </w:tr>
      <w:tr w:rsidR="0045243E" w:rsidRPr="006B344C" w:rsidTr="00EB08D3">
        <w:trPr>
          <w:cantSplit/>
          <w:trHeight w:val="903"/>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hint="eastAsia"/>
                <w:snapToGrid w:val="0"/>
                <w:sz w:val="24"/>
                <w:szCs w:val="24"/>
              </w:rPr>
              <w:t>百分制成绩</w:t>
            </w:r>
          </w:p>
        </w:tc>
        <w:tc>
          <w:tcPr>
            <w:tcW w:w="672"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95</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90</w:t>
            </w: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85</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80</w:t>
            </w: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77</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75</w:t>
            </w: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70</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67</w:t>
            </w: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65</w:t>
            </w: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60</w:t>
            </w:r>
          </w:p>
        </w:tc>
      </w:tr>
      <w:tr w:rsidR="0045243E" w:rsidRPr="006B344C" w:rsidTr="00EB08D3">
        <w:trPr>
          <w:cantSplit/>
          <w:trHeight w:val="603"/>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hint="eastAsia"/>
                <w:snapToGrid w:val="0"/>
                <w:sz w:val="24"/>
                <w:szCs w:val="24"/>
              </w:rPr>
              <w:t>成绩等级</w:t>
            </w:r>
          </w:p>
        </w:tc>
        <w:tc>
          <w:tcPr>
            <w:tcW w:w="672"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A</w:t>
            </w:r>
          </w:p>
        </w:tc>
        <w:tc>
          <w:tcPr>
            <w:tcW w:w="672"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4"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B</w:t>
            </w:r>
          </w:p>
        </w:tc>
        <w:tc>
          <w:tcPr>
            <w:tcW w:w="674"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C</w:t>
            </w:r>
          </w:p>
        </w:tc>
        <w:tc>
          <w:tcPr>
            <w:tcW w:w="672"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4"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D</w:t>
            </w:r>
          </w:p>
        </w:tc>
      </w:tr>
      <w:tr w:rsidR="0045243E" w:rsidRPr="006B344C" w:rsidTr="00EB08D3">
        <w:trPr>
          <w:cantSplit/>
          <w:trHeight w:val="891"/>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hint="eastAsia"/>
                <w:snapToGrid w:val="0"/>
                <w:sz w:val="24"/>
                <w:szCs w:val="24"/>
              </w:rPr>
              <w:t>百分制成绩</w:t>
            </w:r>
          </w:p>
        </w:tc>
        <w:tc>
          <w:tcPr>
            <w:tcW w:w="672"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95</w:t>
            </w:r>
          </w:p>
        </w:tc>
        <w:tc>
          <w:tcPr>
            <w:tcW w:w="672"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4"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80</w:t>
            </w:r>
          </w:p>
        </w:tc>
        <w:tc>
          <w:tcPr>
            <w:tcW w:w="674"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70</w:t>
            </w:r>
          </w:p>
        </w:tc>
        <w:tc>
          <w:tcPr>
            <w:tcW w:w="672"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4"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60</w:t>
            </w:r>
          </w:p>
        </w:tc>
      </w:tr>
      <w:tr w:rsidR="0045243E" w:rsidRPr="006B344C" w:rsidTr="00EB08D3">
        <w:trPr>
          <w:cantSplit/>
          <w:trHeight w:val="603"/>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hint="eastAsia"/>
                <w:snapToGrid w:val="0"/>
                <w:sz w:val="24"/>
                <w:szCs w:val="24"/>
              </w:rPr>
              <w:t>成绩等级</w:t>
            </w:r>
          </w:p>
        </w:tc>
        <w:tc>
          <w:tcPr>
            <w:tcW w:w="672"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hint="eastAsia"/>
                <w:snapToGrid w:val="0"/>
                <w:sz w:val="24"/>
                <w:szCs w:val="24"/>
              </w:rPr>
              <w:t>优</w:t>
            </w:r>
          </w:p>
        </w:tc>
        <w:tc>
          <w:tcPr>
            <w:tcW w:w="672"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4"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hint="eastAsia"/>
                <w:snapToGrid w:val="0"/>
                <w:sz w:val="24"/>
                <w:szCs w:val="24"/>
              </w:rPr>
              <w:t>良</w:t>
            </w:r>
          </w:p>
        </w:tc>
        <w:tc>
          <w:tcPr>
            <w:tcW w:w="674"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hint="eastAsia"/>
                <w:snapToGrid w:val="0"/>
                <w:sz w:val="24"/>
                <w:szCs w:val="24"/>
              </w:rPr>
              <w:t>中</w:t>
            </w:r>
          </w:p>
        </w:tc>
        <w:tc>
          <w:tcPr>
            <w:tcW w:w="672"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4"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hint="eastAsia"/>
                <w:snapToGrid w:val="0"/>
                <w:sz w:val="24"/>
                <w:szCs w:val="24"/>
              </w:rPr>
              <w:t>及格</w:t>
            </w:r>
          </w:p>
        </w:tc>
      </w:tr>
      <w:tr w:rsidR="0045243E" w:rsidRPr="006B344C" w:rsidTr="00EB08D3">
        <w:trPr>
          <w:cantSplit/>
          <w:trHeight w:val="916"/>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hint="eastAsia"/>
                <w:snapToGrid w:val="0"/>
                <w:sz w:val="24"/>
                <w:szCs w:val="24"/>
              </w:rPr>
              <w:t>百分制成绩</w:t>
            </w:r>
          </w:p>
        </w:tc>
        <w:tc>
          <w:tcPr>
            <w:tcW w:w="672"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95</w:t>
            </w:r>
          </w:p>
        </w:tc>
        <w:tc>
          <w:tcPr>
            <w:tcW w:w="672"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4"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80</w:t>
            </w:r>
          </w:p>
        </w:tc>
        <w:tc>
          <w:tcPr>
            <w:tcW w:w="674"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70</w:t>
            </w:r>
          </w:p>
        </w:tc>
        <w:tc>
          <w:tcPr>
            <w:tcW w:w="672"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4" w:type="dxa"/>
            <w:tcBorders>
              <w:top w:val="single" w:sz="4" w:space="0" w:color="auto"/>
              <w:left w:val="single" w:sz="4" w:space="0" w:color="auto"/>
              <w:bottom w:val="single" w:sz="4" w:space="0" w:color="auto"/>
              <w:right w:val="single" w:sz="4" w:space="0" w:color="auto"/>
            </w:tcBorders>
            <w:vAlign w:val="center"/>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topLinePunct/>
              <w:adjustRightInd w:val="0"/>
              <w:snapToGrid w:val="0"/>
              <w:spacing w:line="329" w:lineRule="auto"/>
              <w:jc w:val="center"/>
              <w:rPr>
                <w:rFonts w:ascii="Times New Roman" w:hAnsi="Times New Roman" w:cs="Times New Roman"/>
                <w:snapToGrid w:val="0"/>
                <w:sz w:val="24"/>
                <w:szCs w:val="24"/>
              </w:rPr>
            </w:pPr>
            <w:r w:rsidRPr="006B344C">
              <w:rPr>
                <w:rFonts w:ascii="Times New Roman" w:hAnsi="Times New Roman" w:cs="Times New Roman"/>
                <w:snapToGrid w:val="0"/>
                <w:sz w:val="24"/>
                <w:szCs w:val="24"/>
              </w:rPr>
              <w:t>60</w:t>
            </w:r>
          </w:p>
        </w:tc>
      </w:tr>
    </w:tbl>
    <w:tbl>
      <w:tblPr>
        <w:tblpPr w:leftFromText="180" w:rightFromText="180" w:vertAnchor="text" w:horzAnchor="page" w:tblpXSpec="center" w:tblpY="1128"/>
        <w:tblW w:w="9356" w:type="dxa"/>
        <w:tblLook w:val="04A0" w:firstRow="1" w:lastRow="0" w:firstColumn="1" w:lastColumn="0" w:noHBand="0" w:noVBand="1"/>
      </w:tblPr>
      <w:tblGrid>
        <w:gridCol w:w="1034"/>
        <w:gridCol w:w="1188"/>
        <w:gridCol w:w="1223"/>
        <w:gridCol w:w="1223"/>
        <w:gridCol w:w="1075"/>
        <w:gridCol w:w="1202"/>
        <w:gridCol w:w="1201"/>
        <w:gridCol w:w="1210"/>
      </w:tblGrid>
      <w:tr w:rsidR="0045243E" w:rsidRPr="006B344C" w:rsidTr="00986ACB">
        <w:trPr>
          <w:trHeight w:val="600"/>
        </w:trPr>
        <w:tc>
          <w:tcPr>
            <w:tcW w:w="1101"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b/>
                <w:bCs/>
                <w:kern w:val="0"/>
                <w:sz w:val="24"/>
                <w:szCs w:val="24"/>
              </w:rPr>
            </w:pPr>
            <w:r w:rsidRPr="006B344C">
              <w:rPr>
                <w:rFonts w:ascii="Times New Roman" w:hAnsi="Times New Roman" w:cs="Times New Roman" w:hint="eastAsia"/>
                <w:b/>
                <w:bCs/>
                <w:kern w:val="0"/>
                <w:sz w:val="24"/>
                <w:szCs w:val="24"/>
              </w:rPr>
              <w:t>英国</w:t>
            </w:r>
          </w:p>
        </w:tc>
        <w:tc>
          <w:tcPr>
            <w:tcW w:w="1275"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lang w:eastAsia="zh-TW"/>
              </w:rPr>
            </w:pPr>
            <w:r w:rsidRPr="006B344C">
              <w:rPr>
                <w:rFonts w:ascii="Times New Roman" w:hAnsi="Times New Roman" w:cs="Times New Roman"/>
                <w:kern w:val="0"/>
                <w:sz w:val="24"/>
                <w:szCs w:val="24"/>
              </w:rPr>
              <w:t>70</w:t>
            </w:r>
            <w:r w:rsidRPr="006B344C">
              <w:rPr>
                <w:rFonts w:ascii="Times New Roman" w:hAnsi="Times New Roman" w:cs="Times New Roman"/>
                <w:kern w:val="0"/>
                <w:sz w:val="24"/>
                <w:szCs w:val="24"/>
              </w:rPr>
              <w:t>制成绩换</w:t>
            </w:r>
          </w:p>
        </w:tc>
        <w:tc>
          <w:tcPr>
            <w:tcW w:w="1276"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65-69</w:t>
            </w:r>
          </w:p>
        </w:tc>
        <w:tc>
          <w:tcPr>
            <w:tcW w:w="1276"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60-69</w:t>
            </w:r>
          </w:p>
        </w:tc>
        <w:tc>
          <w:tcPr>
            <w:tcW w:w="1134"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50–59</w:t>
            </w:r>
          </w:p>
        </w:tc>
        <w:tc>
          <w:tcPr>
            <w:tcW w:w="1276"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45–59</w:t>
            </w:r>
          </w:p>
        </w:tc>
        <w:tc>
          <w:tcPr>
            <w:tcW w:w="1275"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40–59</w:t>
            </w:r>
          </w:p>
        </w:tc>
        <w:tc>
          <w:tcPr>
            <w:tcW w:w="1276"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0-39</w:t>
            </w:r>
          </w:p>
        </w:tc>
      </w:tr>
      <w:tr w:rsidR="0045243E" w:rsidRPr="006B344C" w:rsidTr="00986ACB">
        <w:trPr>
          <w:trHeight w:val="600"/>
        </w:trPr>
        <w:tc>
          <w:tcPr>
            <w:tcW w:w="1101" w:type="dxa"/>
            <w:tcBorders>
              <w:top w:val="nil"/>
              <w:left w:val="single" w:sz="4" w:space="0" w:color="auto"/>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b/>
                <w:bCs/>
                <w:kern w:val="0"/>
                <w:sz w:val="24"/>
                <w:szCs w:val="24"/>
              </w:rPr>
            </w:pPr>
            <w:r w:rsidRPr="006B344C">
              <w:rPr>
                <w:rFonts w:ascii="Times New Roman" w:hAnsi="Times New Roman" w:cs="Times New Roman" w:hint="eastAsia"/>
                <w:b/>
                <w:bCs/>
                <w:kern w:val="0"/>
                <w:sz w:val="24"/>
                <w:szCs w:val="24"/>
              </w:rPr>
              <w:t>成绩等级</w:t>
            </w:r>
          </w:p>
        </w:tc>
        <w:tc>
          <w:tcPr>
            <w:tcW w:w="1275"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A</w:t>
            </w:r>
          </w:p>
        </w:tc>
        <w:tc>
          <w:tcPr>
            <w:tcW w:w="1276"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A-</w:t>
            </w:r>
          </w:p>
        </w:tc>
        <w:tc>
          <w:tcPr>
            <w:tcW w:w="1276"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B+</w:t>
            </w:r>
          </w:p>
        </w:tc>
        <w:tc>
          <w:tcPr>
            <w:tcW w:w="1134"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B</w:t>
            </w:r>
          </w:p>
        </w:tc>
        <w:tc>
          <w:tcPr>
            <w:tcW w:w="1276"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C</w:t>
            </w:r>
            <w:r w:rsidRPr="006B344C">
              <w:rPr>
                <w:rFonts w:ascii="Times New Roman" w:hAnsi="Times New Roman" w:cs="Times New Roman" w:hint="eastAsia"/>
                <w:kern w:val="0"/>
                <w:sz w:val="24"/>
                <w:szCs w:val="24"/>
              </w:rPr>
              <w:t>＋</w:t>
            </w:r>
          </w:p>
        </w:tc>
        <w:tc>
          <w:tcPr>
            <w:tcW w:w="1275"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C</w:t>
            </w:r>
          </w:p>
        </w:tc>
        <w:tc>
          <w:tcPr>
            <w:tcW w:w="1276"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F</w:t>
            </w:r>
          </w:p>
        </w:tc>
      </w:tr>
    </w:tbl>
    <w:p w:rsidR="0045243E" w:rsidRPr="006B344C" w:rsidRDefault="0045243E" w:rsidP="004B3025">
      <w:pPr>
        <w:topLinePunct/>
        <w:snapToGrid w:val="0"/>
        <w:spacing w:line="329" w:lineRule="auto"/>
        <w:rPr>
          <w:rFonts w:ascii="Times New Roman" w:hAnsi="Times New Roman" w:cs="Times New Roman"/>
          <w:sz w:val="24"/>
          <w:szCs w:val="24"/>
        </w:rPr>
      </w:pPr>
    </w:p>
    <w:p w:rsidR="0045243E" w:rsidRPr="006B344C" w:rsidRDefault="0045243E" w:rsidP="004B3025">
      <w:pPr>
        <w:topLinePunct/>
        <w:snapToGrid w:val="0"/>
        <w:spacing w:line="329" w:lineRule="auto"/>
        <w:jc w:val="center"/>
        <w:rPr>
          <w:rFonts w:ascii="Times New Roman" w:hAnsi="Times New Roman" w:cs="Times New Roman"/>
          <w:b/>
          <w:sz w:val="24"/>
          <w:szCs w:val="24"/>
        </w:rPr>
      </w:pPr>
      <w:r w:rsidRPr="006B344C">
        <w:rPr>
          <w:rFonts w:ascii="Times New Roman" w:hAnsi="Times New Roman" w:cs="Times New Roman" w:hint="eastAsia"/>
          <w:b/>
          <w:sz w:val="24"/>
          <w:szCs w:val="24"/>
        </w:rPr>
        <w:t>表</w:t>
      </w:r>
      <w:r w:rsidRPr="006B344C">
        <w:rPr>
          <w:rFonts w:ascii="Times New Roman" w:hAnsi="Times New Roman" w:cs="Times New Roman"/>
          <w:b/>
          <w:sz w:val="24"/>
          <w:szCs w:val="24"/>
        </w:rPr>
        <w:t xml:space="preserve">2 </w:t>
      </w:r>
      <w:r w:rsidRPr="006B344C">
        <w:rPr>
          <w:rFonts w:ascii="Times New Roman" w:hAnsi="Times New Roman" w:cs="Times New Roman" w:hint="eastAsia"/>
          <w:b/>
          <w:sz w:val="24"/>
          <w:szCs w:val="24"/>
        </w:rPr>
        <w:t>英国成绩转换标准</w:t>
      </w:r>
    </w:p>
    <w:p w:rsidR="0045243E" w:rsidRPr="006B344C" w:rsidRDefault="0045243E" w:rsidP="004B3025">
      <w:pPr>
        <w:topLinePunct/>
        <w:snapToGrid w:val="0"/>
        <w:spacing w:line="329" w:lineRule="auto"/>
        <w:jc w:val="center"/>
        <w:rPr>
          <w:rFonts w:ascii="Times New Roman" w:hAnsi="Times New Roman" w:cs="Times New Roman"/>
          <w:sz w:val="24"/>
          <w:szCs w:val="24"/>
        </w:rPr>
      </w:pPr>
    </w:p>
    <w:p w:rsidR="0045243E" w:rsidRPr="006B344C" w:rsidRDefault="0045243E" w:rsidP="004B3025">
      <w:pPr>
        <w:topLinePunct/>
        <w:snapToGrid w:val="0"/>
        <w:spacing w:line="329" w:lineRule="auto"/>
        <w:rPr>
          <w:rFonts w:ascii="Times New Roman" w:hAnsi="Times New Roman" w:cs="Times New Roman"/>
          <w:sz w:val="24"/>
          <w:szCs w:val="24"/>
        </w:rPr>
      </w:pPr>
    </w:p>
    <w:p w:rsidR="0045243E" w:rsidRPr="006B344C" w:rsidRDefault="0045243E" w:rsidP="004B3025">
      <w:pPr>
        <w:topLinePunct/>
        <w:snapToGrid w:val="0"/>
        <w:spacing w:line="329" w:lineRule="auto"/>
        <w:ind w:firstLine="482"/>
        <w:jc w:val="center"/>
        <w:rPr>
          <w:rFonts w:ascii="Times New Roman" w:hAnsi="Times New Roman" w:cs="Times New Roman"/>
          <w:sz w:val="24"/>
          <w:szCs w:val="24"/>
          <w:lang w:eastAsia="zh-TW"/>
        </w:rPr>
      </w:pPr>
      <w:r w:rsidRPr="006B344C">
        <w:rPr>
          <w:rFonts w:ascii="Times New Roman" w:hAnsi="Times New Roman" w:cs="Times New Roman" w:hint="eastAsia"/>
          <w:b/>
          <w:bCs/>
          <w:snapToGrid w:val="0"/>
          <w:sz w:val="24"/>
          <w:szCs w:val="24"/>
        </w:rPr>
        <w:t>表</w:t>
      </w:r>
      <w:r w:rsidRPr="006B344C">
        <w:rPr>
          <w:rFonts w:ascii="Times New Roman" w:hAnsi="Times New Roman" w:cs="Times New Roman"/>
          <w:b/>
          <w:bCs/>
          <w:snapToGrid w:val="0"/>
          <w:sz w:val="24"/>
          <w:szCs w:val="24"/>
        </w:rPr>
        <w:t xml:space="preserve">3 </w:t>
      </w:r>
      <w:r w:rsidRPr="006B344C">
        <w:rPr>
          <w:rFonts w:ascii="Times New Roman" w:hAnsi="Times New Roman" w:cs="Times New Roman" w:hint="eastAsia"/>
          <w:b/>
          <w:bCs/>
          <w:snapToGrid w:val="0"/>
          <w:sz w:val="24"/>
          <w:szCs w:val="24"/>
        </w:rPr>
        <w:t>德国</w:t>
      </w:r>
      <w:r w:rsidRPr="006B344C">
        <w:rPr>
          <w:rFonts w:ascii="Times New Roman" w:hAnsi="Times New Roman" w:cs="Times New Roman"/>
          <w:b/>
          <w:bCs/>
          <w:snapToGrid w:val="0"/>
          <w:sz w:val="24"/>
          <w:szCs w:val="24"/>
        </w:rPr>
        <w:t>5</w:t>
      </w:r>
      <w:r w:rsidRPr="006B344C">
        <w:rPr>
          <w:rFonts w:ascii="Times New Roman" w:hAnsi="Times New Roman" w:cs="Times New Roman" w:hint="eastAsia"/>
          <w:b/>
          <w:bCs/>
          <w:snapToGrid w:val="0"/>
          <w:sz w:val="24"/>
          <w:szCs w:val="24"/>
        </w:rPr>
        <w:t>分制成绩换算表</w:t>
      </w:r>
    </w:p>
    <w:tbl>
      <w:tblPr>
        <w:tblpPr w:leftFromText="180" w:rightFromText="180" w:vertAnchor="text" w:horzAnchor="margin" w:tblpXSpec="center" w:tblpY="189"/>
        <w:tblW w:w="9356" w:type="dxa"/>
        <w:tblLayout w:type="fixed"/>
        <w:tblLook w:val="04A0" w:firstRow="1" w:lastRow="0" w:firstColumn="1" w:lastColumn="0" w:noHBand="0" w:noVBand="1"/>
      </w:tblPr>
      <w:tblGrid>
        <w:gridCol w:w="1106"/>
        <w:gridCol w:w="584"/>
        <w:gridCol w:w="698"/>
        <w:gridCol w:w="698"/>
        <w:gridCol w:w="696"/>
        <w:gridCol w:w="698"/>
        <w:gridCol w:w="698"/>
        <w:gridCol w:w="698"/>
        <w:gridCol w:w="696"/>
        <w:gridCol w:w="698"/>
        <w:gridCol w:w="698"/>
        <w:gridCol w:w="698"/>
        <w:gridCol w:w="690"/>
      </w:tblGrid>
      <w:tr w:rsidR="0045243E" w:rsidRPr="006B344C" w:rsidTr="00EB08D3">
        <w:trPr>
          <w:trHeight w:val="285"/>
        </w:trPr>
        <w:tc>
          <w:tcPr>
            <w:tcW w:w="1097"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b/>
                <w:sz w:val="24"/>
                <w:szCs w:val="24"/>
              </w:rPr>
            </w:pPr>
            <w:r w:rsidRPr="006B344C">
              <w:rPr>
                <w:rFonts w:ascii="Times New Roman" w:hAnsi="Times New Roman" w:cs="Times New Roman" w:hint="eastAsia"/>
                <w:b/>
                <w:sz w:val="24"/>
                <w:szCs w:val="24"/>
              </w:rPr>
              <w:t>成绩等级</w:t>
            </w:r>
          </w:p>
        </w:tc>
        <w:tc>
          <w:tcPr>
            <w:tcW w:w="579"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1</w:t>
            </w:r>
          </w:p>
        </w:tc>
        <w:tc>
          <w:tcPr>
            <w:tcW w:w="692"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1.1</w:t>
            </w:r>
          </w:p>
        </w:tc>
        <w:tc>
          <w:tcPr>
            <w:tcW w:w="692"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1.2</w:t>
            </w:r>
          </w:p>
        </w:tc>
        <w:tc>
          <w:tcPr>
            <w:tcW w:w="691"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1.3</w:t>
            </w:r>
          </w:p>
        </w:tc>
        <w:tc>
          <w:tcPr>
            <w:tcW w:w="693"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1.4</w:t>
            </w:r>
          </w:p>
        </w:tc>
        <w:tc>
          <w:tcPr>
            <w:tcW w:w="693"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1.5</w:t>
            </w:r>
          </w:p>
        </w:tc>
        <w:tc>
          <w:tcPr>
            <w:tcW w:w="693"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1.6</w:t>
            </w:r>
          </w:p>
        </w:tc>
        <w:tc>
          <w:tcPr>
            <w:tcW w:w="691"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1.7</w:t>
            </w:r>
          </w:p>
        </w:tc>
        <w:tc>
          <w:tcPr>
            <w:tcW w:w="693"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1.8</w:t>
            </w:r>
          </w:p>
        </w:tc>
        <w:tc>
          <w:tcPr>
            <w:tcW w:w="693"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1.9</w:t>
            </w:r>
          </w:p>
        </w:tc>
        <w:tc>
          <w:tcPr>
            <w:tcW w:w="693"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2</w:t>
            </w:r>
          </w:p>
        </w:tc>
        <w:tc>
          <w:tcPr>
            <w:tcW w:w="685"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2.1</w:t>
            </w:r>
          </w:p>
        </w:tc>
      </w:tr>
      <w:tr w:rsidR="0045243E" w:rsidRPr="006B344C" w:rsidTr="00EB08D3">
        <w:trPr>
          <w:trHeight w:val="285"/>
        </w:trPr>
        <w:tc>
          <w:tcPr>
            <w:tcW w:w="1097" w:type="dxa"/>
            <w:tcBorders>
              <w:top w:val="nil"/>
              <w:left w:val="single" w:sz="4" w:space="0" w:color="auto"/>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sz w:val="24"/>
                <w:szCs w:val="24"/>
              </w:rPr>
            </w:pPr>
            <w:r w:rsidRPr="006B344C">
              <w:rPr>
                <w:rFonts w:ascii="Times New Roman" w:hAnsi="Times New Roman" w:cs="Times New Roman" w:hint="eastAsia"/>
                <w:sz w:val="24"/>
                <w:szCs w:val="24"/>
              </w:rPr>
              <w:t>百分制</w:t>
            </w:r>
          </w:p>
          <w:p w:rsidR="0045243E" w:rsidRPr="006B344C" w:rsidRDefault="0045243E" w:rsidP="004B3025">
            <w:pPr>
              <w:spacing w:line="329" w:lineRule="auto"/>
              <w:jc w:val="center"/>
              <w:rPr>
                <w:rFonts w:ascii="Times New Roman" w:hAnsi="Times New Roman" w:cs="Times New Roman"/>
                <w:sz w:val="24"/>
                <w:szCs w:val="24"/>
              </w:rPr>
            </w:pPr>
            <w:r w:rsidRPr="006B344C">
              <w:rPr>
                <w:rFonts w:ascii="Times New Roman" w:hAnsi="Times New Roman" w:cs="Times New Roman" w:hint="eastAsia"/>
                <w:sz w:val="24"/>
                <w:szCs w:val="24"/>
              </w:rPr>
              <w:t>成绩</w:t>
            </w:r>
          </w:p>
        </w:tc>
        <w:tc>
          <w:tcPr>
            <w:tcW w:w="579"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95</w:t>
            </w:r>
          </w:p>
        </w:tc>
        <w:tc>
          <w:tcPr>
            <w:tcW w:w="692"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94</w:t>
            </w:r>
          </w:p>
        </w:tc>
        <w:tc>
          <w:tcPr>
            <w:tcW w:w="692"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93</w:t>
            </w:r>
          </w:p>
        </w:tc>
        <w:tc>
          <w:tcPr>
            <w:tcW w:w="691"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92</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91</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90</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89</w:t>
            </w:r>
          </w:p>
        </w:tc>
        <w:tc>
          <w:tcPr>
            <w:tcW w:w="691"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88</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87</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86</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85</w:t>
            </w:r>
          </w:p>
        </w:tc>
        <w:tc>
          <w:tcPr>
            <w:tcW w:w="685"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84</w:t>
            </w:r>
          </w:p>
        </w:tc>
      </w:tr>
      <w:tr w:rsidR="0045243E" w:rsidRPr="006B344C" w:rsidTr="00EB08D3">
        <w:trPr>
          <w:trHeight w:val="285"/>
        </w:trPr>
        <w:tc>
          <w:tcPr>
            <w:tcW w:w="1097" w:type="dxa"/>
            <w:tcBorders>
              <w:top w:val="nil"/>
              <w:left w:val="single" w:sz="4" w:space="0" w:color="auto"/>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b/>
                <w:sz w:val="24"/>
                <w:szCs w:val="24"/>
              </w:rPr>
            </w:pPr>
            <w:r w:rsidRPr="006B344C">
              <w:rPr>
                <w:rFonts w:ascii="Times New Roman" w:hAnsi="Times New Roman" w:cs="Times New Roman" w:hint="eastAsia"/>
                <w:b/>
                <w:sz w:val="24"/>
                <w:szCs w:val="24"/>
              </w:rPr>
              <w:t>成绩等级</w:t>
            </w:r>
          </w:p>
        </w:tc>
        <w:tc>
          <w:tcPr>
            <w:tcW w:w="579"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2.3</w:t>
            </w:r>
          </w:p>
        </w:tc>
        <w:tc>
          <w:tcPr>
            <w:tcW w:w="692"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2.4</w:t>
            </w:r>
          </w:p>
        </w:tc>
        <w:tc>
          <w:tcPr>
            <w:tcW w:w="692"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2.5</w:t>
            </w:r>
          </w:p>
        </w:tc>
        <w:tc>
          <w:tcPr>
            <w:tcW w:w="691"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2.6</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2.7</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2.8</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2.9</w:t>
            </w:r>
          </w:p>
        </w:tc>
        <w:tc>
          <w:tcPr>
            <w:tcW w:w="691"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3</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3.1</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3.2</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3.3</w:t>
            </w:r>
          </w:p>
        </w:tc>
        <w:tc>
          <w:tcPr>
            <w:tcW w:w="685"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3.4</w:t>
            </w:r>
          </w:p>
        </w:tc>
      </w:tr>
      <w:tr w:rsidR="0045243E" w:rsidRPr="006B344C" w:rsidTr="00EB08D3">
        <w:trPr>
          <w:trHeight w:val="285"/>
        </w:trPr>
        <w:tc>
          <w:tcPr>
            <w:tcW w:w="1097" w:type="dxa"/>
            <w:tcBorders>
              <w:top w:val="nil"/>
              <w:left w:val="single" w:sz="4" w:space="0" w:color="auto"/>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sz w:val="24"/>
                <w:szCs w:val="24"/>
              </w:rPr>
            </w:pPr>
            <w:r w:rsidRPr="006B344C">
              <w:rPr>
                <w:rFonts w:ascii="Times New Roman" w:hAnsi="Times New Roman" w:cs="Times New Roman" w:hint="eastAsia"/>
                <w:sz w:val="24"/>
                <w:szCs w:val="24"/>
              </w:rPr>
              <w:t>百分制</w:t>
            </w:r>
          </w:p>
          <w:p w:rsidR="0045243E" w:rsidRPr="006B344C" w:rsidRDefault="0045243E" w:rsidP="004B3025">
            <w:pPr>
              <w:spacing w:line="329" w:lineRule="auto"/>
              <w:jc w:val="center"/>
              <w:rPr>
                <w:rFonts w:ascii="Times New Roman" w:hAnsi="Times New Roman" w:cs="Times New Roman"/>
                <w:sz w:val="24"/>
                <w:szCs w:val="24"/>
              </w:rPr>
            </w:pPr>
            <w:r w:rsidRPr="006B344C">
              <w:rPr>
                <w:rFonts w:ascii="Times New Roman" w:hAnsi="Times New Roman" w:cs="Times New Roman" w:hint="eastAsia"/>
                <w:sz w:val="24"/>
                <w:szCs w:val="24"/>
              </w:rPr>
              <w:t>成绩</w:t>
            </w:r>
          </w:p>
        </w:tc>
        <w:tc>
          <w:tcPr>
            <w:tcW w:w="579"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82</w:t>
            </w:r>
          </w:p>
        </w:tc>
        <w:tc>
          <w:tcPr>
            <w:tcW w:w="692"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81</w:t>
            </w:r>
          </w:p>
        </w:tc>
        <w:tc>
          <w:tcPr>
            <w:tcW w:w="692"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80</w:t>
            </w:r>
          </w:p>
        </w:tc>
        <w:tc>
          <w:tcPr>
            <w:tcW w:w="691"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79</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78</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77</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76</w:t>
            </w:r>
          </w:p>
        </w:tc>
        <w:tc>
          <w:tcPr>
            <w:tcW w:w="691"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75</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74</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73</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72</w:t>
            </w:r>
          </w:p>
        </w:tc>
        <w:tc>
          <w:tcPr>
            <w:tcW w:w="685"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71</w:t>
            </w:r>
          </w:p>
        </w:tc>
      </w:tr>
      <w:tr w:rsidR="0045243E" w:rsidRPr="006B344C" w:rsidTr="00EB08D3">
        <w:trPr>
          <w:trHeight w:val="285"/>
        </w:trPr>
        <w:tc>
          <w:tcPr>
            <w:tcW w:w="1097" w:type="dxa"/>
            <w:tcBorders>
              <w:top w:val="nil"/>
              <w:left w:val="single" w:sz="4" w:space="0" w:color="auto"/>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b/>
                <w:sz w:val="24"/>
                <w:szCs w:val="24"/>
              </w:rPr>
            </w:pPr>
            <w:r w:rsidRPr="006B344C">
              <w:rPr>
                <w:rFonts w:ascii="Times New Roman" w:hAnsi="Times New Roman" w:cs="Times New Roman" w:hint="eastAsia"/>
                <w:b/>
                <w:sz w:val="24"/>
                <w:szCs w:val="24"/>
              </w:rPr>
              <w:t>成绩等级</w:t>
            </w:r>
          </w:p>
        </w:tc>
        <w:tc>
          <w:tcPr>
            <w:tcW w:w="579"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3.6</w:t>
            </w:r>
          </w:p>
        </w:tc>
        <w:tc>
          <w:tcPr>
            <w:tcW w:w="692"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3.7</w:t>
            </w:r>
          </w:p>
        </w:tc>
        <w:tc>
          <w:tcPr>
            <w:tcW w:w="692"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3.8</w:t>
            </w:r>
          </w:p>
        </w:tc>
        <w:tc>
          <w:tcPr>
            <w:tcW w:w="691"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3.9</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4</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4.1</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4.2</w:t>
            </w:r>
          </w:p>
        </w:tc>
        <w:tc>
          <w:tcPr>
            <w:tcW w:w="691"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4.3</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4.4</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b/>
                <w:sz w:val="24"/>
                <w:szCs w:val="24"/>
              </w:rPr>
            </w:pPr>
            <w:r w:rsidRPr="006B344C">
              <w:rPr>
                <w:rFonts w:ascii="Times New Roman" w:hAnsi="Times New Roman" w:cs="Times New Roman"/>
                <w:b/>
                <w:sz w:val="24"/>
                <w:szCs w:val="24"/>
              </w:rPr>
              <w:t>4.5</w:t>
            </w:r>
          </w:p>
        </w:tc>
        <w:tc>
          <w:tcPr>
            <w:tcW w:w="693" w:type="dxa"/>
            <w:tcBorders>
              <w:top w:val="nil"/>
              <w:left w:val="nil"/>
              <w:bottom w:val="single" w:sz="4" w:space="0" w:color="auto"/>
              <w:right w:val="single" w:sz="4" w:space="0" w:color="auto"/>
            </w:tcBorders>
            <w:vAlign w:val="center"/>
          </w:tcPr>
          <w:p w:rsidR="0045243E" w:rsidRPr="006B344C" w:rsidRDefault="0045243E" w:rsidP="004B3025">
            <w:pPr>
              <w:spacing w:line="329" w:lineRule="auto"/>
              <w:jc w:val="right"/>
              <w:rPr>
                <w:rFonts w:ascii="Times New Roman" w:hAnsi="Times New Roman" w:cs="Times New Roman"/>
                <w:b/>
                <w:sz w:val="24"/>
                <w:szCs w:val="24"/>
              </w:rPr>
            </w:pPr>
          </w:p>
        </w:tc>
        <w:tc>
          <w:tcPr>
            <w:tcW w:w="685"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left"/>
              <w:rPr>
                <w:rFonts w:ascii="Times New Roman" w:hAnsi="Times New Roman" w:cs="Times New Roman"/>
                <w:b/>
                <w:sz w:val="24"/>
                <w:szCs w:val="24"/>
              </w:rPr>
            </w:pPr>
            <w:r w:rsidRPr="006B344C">
              <w:rPr>
                <w:rFonts w:ascii="Times New Roman" w:hAnsi="Times New Roman" w:cs="Times New Roman" w:hint="eastAsia"/>
                <w:b/>
                <w:sz w:val="24"/>
                <w:szCs w:val="24"/>
              </w:rPr>
              <w:t xml:space="preserve">　</w:t>
            </w:r>
          </w:p>
        </w:tc>
      </w:tr>
      <w:tr w:rsidR="0045243E" w:rsidRPr="006B344C" w:rsidTr="00EB08D3">
        <w:trPr>
          <w:trHeight w:val="285"/>
        </w:trPr>
        <w:tc>
          <w:tcPr>
            <w:tcW w:w="1097" w:type="dxa"/>
            <w:tcBorders>
              <w:top w:val="nil"/>
              <w:left w:val="single" w:sz="4" w:space="0" w:color="auto"/>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sz w:val="24"/>
                <w:szCs w:val="24"/>
              </w:rPr>
            </w:pPr>
            <w:r w:rsidRPr="006B344C">
              <w:rPr>
                <w:rFonts w:ascii="Times New Roman" w:hAnsi="Times New Roman" w:cs="Times New Roman" w:hint="eastAsia"/>
                <w:sz w:val="24"/>
                <w:szCs w:val="24"/>
              </w:rPr>
              <w:t>百分制</w:t>
            </w:r>
          </w:p>
          <w:p w:rsidR="0045243E" w:rsidRPr="006B344C" w:rsidRDefault="0045243E" w:rsidP="004B3025">
            <w:pPr>
              <w:spacing w:line="329" w:lineRule="auto"/>
              <w:jc w:val="center"/>
              <w:rPr>
                <w:rFonts w:ascii="Times New Roman" w:hAnsi="Times New Roman" w:cs="Times New Roman"/>
                <w:sz w:val="24"/>
                <w:szCs w:val="24"/>
              </w:rPr>
            </w:pPr>
            <w:r w:rsidRPr="006B344C">
              <w:rPr>
                <w:rFonts w:ascii="Times New Roman" w:hAnsi="Times New Roman" w:cs="Times New Roman" w:hint="eastAsia"/>
                <w:sz w:val="24"/>
                <w:szCs w:val="24"/>
              </w:rPr>
              <w:t>成绩</w:t>
            </w:r>
          </w:p>
        </w:tc>
        <w:tc>
          <w:tcPr>
            <w:tcW w:w="579"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69</w:t>
            </w:r>
          </w:p>
        </w:tc>
        <w:tc>
          <w:tcPr>
            <w:tcW w:w="692"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68</w:t>
            </w:r>
          </w:p>
        </w:tc>
        <w:tc>
          <w:tcPr>
            <w:tcW w:w="692"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67</w:t>
            </w:r>
          </w:p>
        </w:tc>
        <w:tc>
          <w:tcPr>
            <w:tcW w:w="691"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66</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65</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64</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63</w:t>
            </w:r>
          </w:p>
        </w:tc>
        <w:tc>
          <w:tcPr>
            <w:tcW w:w="691"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62</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61</w:t>
            </w:r>
          </w:p>
        </w:tc>
        <w:tc>
          <w:tcPr>
            <w:tcW w:w="693"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right"/>
              <w:rPr>
                <w:rFonts w:ascii="Times New Roman" w:hAnsi="Times New Roman" w:cs="Times New Roman"/>
                <w:sz w:val="24"/>
                <w:szCs w:val="24"/>
              </w:rPr>
            </w:pPr>
            <w:r w:rsidRPr="006B344C">
              <w:rPr>
                <w:rFonts w:ascii="Times New Roman" w:hAnsi="Times New Roman" w:cs="Times New Roman"/>
                <w:sz w:val="24"/>
                <w:szCs w:val="24"/>
              </w:rPr>
              <w:t>60</w:t>
            </w:r>
          </w:p>
        </w:tc>
        <w:tc>
          <w:tcPr>
            <w:tcW w:w="693" w:type="dxa"/>
            <w:tcBorders>
              <w:top w:val="nil"/>
              <w:left w:val="nil"/>
              <w:bottom w:val="single" w:sz="4" w:space="0" w:color="auto"/>
              <w:right w:val="single" w:sz="4" w:space="0" w:color="auto"/>
            </w:tcBorders>
            <w:vAlign w:val="center"/>
          </w:tcPr>
          <w:p w:rsidR="0045243E" w:rsidRPr="006B344C" w:rsidRDefault="0045243E" w:rsidP="004B3025">
            <w:pPr>
              <w:spacing w:line="329" w:lineRule="auto"/>
              <w:jc w:val="right"/>
              <w:rPr>
                <w:rFonts w:ascii="Times New Roman" w:hAnsi="Times New Roman" w:cs="Times New Roman"/>
                <w:sz w:val="24"/>
                <w:szCs w:val="24"/>
              </w:rPr>
            </w:pPr>
          </w:p>
        </w:tc>
        <w:tc>
          <w:tcPr>
            <w:tcW w:w="685"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left"/>
              <w:rPr>
                <w:rFonts w:ascii="Times New Roman" w:hAnsi="Times New Roman" w:cs="Times New Roman"/>
                <w:sz w:val="24"/>
                <w:szCs w:val="24"/>
              </w:rPr>
            </w:pPr>
            <w:r w:rsidRPr="006B344C">
              <w:rPr>
                <w:rFonts w:ascii="Times New Roman" w:hAnsi="Times New Roman" w:cs="Times New Roman" w:hint="eastAsia"/>
                <w:sz w:val="24"/>
                <w:szCs w:val="24"/>
              </w:rPr>
              <w:t xml:space="preserve">　</w:t>
            </w:r>
          </w:p>
        </w:tc>
      </w:tr>
    </w:tbl>
    <w:p w:rsidR="0045243E" w:rsidRPr="006B344C" w:rsidRDefault="0045243E" w:rsidP="004B3025">
      <w:pPr>
        <w:topLinePunct/>
        <w:snapToGrid w:val="0"/>
        <w:spacing w:line="329" w:lineRule="auto"/>
        <w:ind w:firstLine="480"/>
        <w:jc w:val="left"/>
        <w:rPr>
          <w:rFonts w:ascii="Times New Roman" w:hAnsi="Times New Roman" w:cs="Times New Roman"/>
          <w:i/>
          <w:iCs/>
          <w:snapToGrid w:val="0"/>
          <w:sz w:val="24"/>
          <w:szCs w:val="24"/>
          <w:lang w:eastAsia="zh-TW"/>
        </w:rPr>
      </w:pPr>
    </w:p>
    <w:tbl>
      <w:tblPr>
        <w:tblpPr w:leftFromText="180" w:rightFromText="180" w:vertAnchor="text" w:horzAnchor="page" w:tblpXSpec="center" w:tblpY="644"/>
        <w:tblW w:w="9356" w:type="dxa"/>
        <w:tblLayout w:type="fixed"/>
        <w:tblLook w:val="04A0" w:firstRow="1" w:lastRow="0" w:firstColumn="1" w:lastColumn="0" w:noHBand="0" w:noVBand="1"/>
      </w:tblPr>
      <w:tblGrid>
        <w:gridCol w:w="1042"/>
        <w:gridCol w:w="1206"/>
        <w:gridCol w:w="1207"/>
        <w:gridCol w:w="1207"/>
        <w:gridCol w:w="1074"/>
        <w:gridCol w:w="1207"/>
        <w:gridCol w:w="1206"/>
        <w:gridCol w:w="1207"/>
      </w:tblGrid>
      <w:tr w:rsidR="0045243E" w:rsidRPr="006B344C" w:rsidTr="00EB08D3">
        <w:trPr>
          <w:trHeight w:val="600"/>
        </w:trPr>
        <w:tc>
          <w:tcPr>
            <w:tcW w:w="1101"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b/>
                <w:bCs/>
                <w:kern w:val="0"/>
                <w:sz w:val="24"/>
                <w:szCs w:val="24"/>
              </w:rPr>
            </w:pPr>
            <w:r w:rsidRPr="006B344C">
              <w:rPr>
                <w:rFonts w:ascii="Times New Roman" w:hAnsi="Times New Roman" w:cs="Times New Roman" w:hint="eastAsia"/>
                <w:b/>
                <w:bCs/>
                <w:kern w:val="0"/>
                <w:sz w:val="24"/>
                <w:szCs w:val="24"/>
              </w:rPr>
              <w:t>荷兰</w:t>
            </w:r>
          </w:p>
        </w:tc>
        <w:tc>
          <w:tcPr>
            <w:tcW w:w="1275"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8.5-10</w:t>
            </w:r>
          </w:p>
        </w:tc>
        <w:tc>
          <w:tcPr>
            <w:tcW w:w="1276"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7.5-8.4</w:t>
            </w:r>
          </w:p>
        </w:tc>
        <w:tc>
          <w:tcPr>
            <w:tcW w:w="1276"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7.0-7.4</w:t>
            </w:r>
          </w:p>
        </w:tc>
        <w:tc>
          <w:tcPr>
            <w:tcW w:w="1134"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6.5-6.9</w:t>
            </w:r>
          </w:p>
        </w:tc>
        <w:tc>
          <w:tcPr>
            <w:tcW w:w="1276"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6.0-6.4</w:t>
            </w:r>
          </w:p>
        </w:tc>
        <w:tc>
          <w:tcPr>
            <w:tcW w:w="1275"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5.5-5.9</w:t>
            </w:r>
          </w:p>
        </w:tc>
        <w:tc>
          <w:tcPr>
            <w:tcW w:w="1276"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5.0-5.4</w:t>
            </w:r>
          </w:p>
        </w:tc>
      </w:tr>
      <w:tr w:rsidR="0045243E" w:rsidRPr="006B344C" w:rsidTr="00EB08D3">
        <w:trPr>
          <w:trHeight w:val="600"/>
        </w:trPr>
        <w:tc>
          <w:tcPr>
            <w:tcW w:w="1101" w:type="dxa"/>
            <w:tcBorders>
              <w:top w:val="nil"/>
              <w:left w:val="single" w:sz="4" w:space="0" w:color="auto"/>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b/>
                <w:bCs/>
                <w:kern w:val="0"/>
                <w:sz w:val="24"/>
                <w:szCs w:val="24"/>
              </w:rPr>
            </w:pPr>
            <w:r w:rsidRPr="006B344C">
              <w:rPr>
                <w:rFonts w:ascii="Times New Roman" w:hAnsi="Times New Roman" w:cs="Times New Roman" w:hint="eastAsia"/>
                <w:b/>
                <w:bCs/>
                <w:kern w:val="0"/>
                <w:sz w:val="24"/>
                <w:szCs w:val="24"/>
              </w:rPr>
              <w:t>成绩等级</w:t>
            </w:r>
          </w:p>
        </w:tc>
        <w:tc>
          <w:tcPr>
            <w:tcW w:w="1275"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A</w:t>
            </w:r>
          </w:p>
        </w:tc>
        <w:tc>
          <w:tcPr>
            <w:tcW w:w="1276"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A-</w:t>
            </w:r>
          </w:p>
        </w:tc>
        <w:tc>
          <w:tcPr>
            <w:tcW w:w="1276"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B+</w:t>
            </w:r>
          </w:p>
        </w:tc>
        <w:tc>
          <w:tcPr>
            <w:tcW w:w="1134"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B</w:t>
            </w:r>
          </w:p>
        </w:tc>
        <w:tc>
          <w:tcPr>
            <w:tcW w:w="1276"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C+</w:t>
            </w:r>
          </w:p>
        </w:tc>
        <w:tc>
          <w:tcPr>
            <w:tcW w:w="1275" w:type="dxa"/>
            <w:tcBorders>
              <w:top w:val="nil"/>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C</w:t>
            </w:r>
          </w:p>
        </w:tc>
        <w:tc>
          <w:tcPr>
            <w:tcW w:w="1276"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D</w:t>
            </w:r>
          </w:p>
        </w:tc>
      </w:tr>
      <w:tr w:rsidR="0045243E" w:rsidRPr="006B344C" w:rsidTr="00EB08D3">
        <w:trPr>
          <w:trHeight w:val="600"/>
        </w:trPr>
        <w:tc>
          <w:tcPr>
            <w:tcW w:w="1101"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b/>
                <w:bCs/>
                <w:kern w:val="0"/>
                <w:sz w:val="24"/>
                <w:szCs w:val="24"/>
              </w:rPr>
            </w:pPr>
            <w:r w:rsidRPr="006B344C">
              <w:rPr>
                <w:rFonts w:ascii="Times New Roman" w:hAnsi="Times New Roman" w:cs="Times New Roman" w:hint="eastAsia"/>
                <w:b/>
                <w:bCs/>
                <w:kern w:val="0"/>
                <w:sz w:val="24"/>
                <w:szCs w:val="24"/>
              </w:rPr>
              <w:t>西班牙</w:t>
            </w:r>
          </w:p>
        </w:tc>
        <w:tc>
          <w:tcPr>
            <w:tcW w:w="1275"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9-10</w:t>
            </w:r>
          </w:p>
        </w:tc>
        <w:tc>
          <w:tcPr>
            <w:tcW w:w="1276"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8-8.9</w:t>
            </w:r>
          </w:p>
        </w:tc>
        <w:tc>
          <w:tcPr>
            <w:tcW w:w="1276"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7-7.9</w:t>
            </w:r>
          </w:p>
        </w:tc>
        <w:tc>
          <w:tcPr>
            <w:tcW w:w="1134"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6-6.9</w:t>
            </w:r>
          </w:p>
        </w:tc>
        <w:tc>
          <w:tcPr>
            <w:tcW w:w="1276"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5.5-5.9</w:t>
            </w:r>
          </w:p>
        </w:tc>
        <w:tc>
          <w:tcPr>
            <w:tcW w:w="1275"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5.0-5.4</w:t>
            </w:r>
          </w:p>
        </w:tc>
        <w:tc>
          <w:tcPr>
            <w:tcW w:w="1276"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4-4.9</w:t>
            </w:r>
          </w:p>
        </w:tc>
      </w:tr>
      <w:tr w:rsidR="0045243E" w:rsidRPr="006B344C" w:rsidTr="00EB08D3">
        <w:trPr>
          <w:trHeight w:val="600"/>
        </w:trPr>
        <w:tc>
          <w:tcPr>
            <w:tcW w:w="1101"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b/>
                <w:bCs/>
                <w:kern w:val="0"/>
                <w:sz w:val="24"/>
                <w:szCs w:val="24"/>
              </w:rPr>
            </w:pPr>
            <w:r w:rsidRPr="006B344C">
              <w:rPr>
                <w:rFonts w:ascii="Times New Roman" w:hAnsi="Times New Roman" w:cs="Times New Roman" w:hint="eastAsia"/>
                <w:b/>
                <w:bCs/>
                <w:kern w:val="0"/>
                <w:sz w:val="24"/>
                <w:szCs w:val="24"/>
              </w:rPr>
              <w:t>成绩等级</w:t>
            </w:r>
          </w:p>
        </w:tc>
        <w:tc>
          <w:tcPr>
            <w:tcW w:w="1275"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A</w:t>
            </w:r>
          </w:p>
        </w:tc>
        <w:tc>
          <w:tcPr>
            <w:tcW w:w="1276"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A-</w:t>
            </w:r>
          </w:p>
        </w:tc>
        <w:tc>
          <w:tcPr>
            <w:tcW w:w="1276"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B+</w:t>
            </w:r>
          </w:p>
        </w:tc>
        <w:tc>
          <w:tcPr>
            <w:tcW w:w="1134"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B</w:t>
            </w:r>
          </w:p>
        </w:tc>
        <w:tc>
          <w:tcPr>
            <w:tcW w:w="1276"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C+</w:t>
            </w:r>
          </w:p>
        </w:tc>
        <w:tc>
          <w:tcPr>
            <w:tcW w:w="1275"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C</w:t>
            </w:r>
          </w:p>
        </w:tc>
        <w:tc>
          <w:tcPr>
            <w:tcW w:w="1276" w:type="dxa"/>
            <w:tcBorders>
              <w:top w:val="single" w:sz="4" w:space="0" w:color="auto"/>
              <w:left w:val="nil"/>
              <w:bottom w:val="single" w:sz="4" w:space="0" w:color="auto"/>
              <w:right w:val="single" w:sz="4" w:space="0" w:color="auto"/>
            </w:tcBorders>
            <w:vAlign w:val="center"/>
            <w:hideMark/>
          </w:tcPr>
          <w:p w:rsidR="0045243E" w:rsidRPr="006B344C" w:rsidRDefault="0045243E" w:rsidP="004B3025">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F</w:t>
            </w:r>
          </w:p>
        </w:tc>
      </w:tr>
    </w:tbl>
    <w:p w:rsidR="0045243E" w:rsidRPr="006B344C" w:rsidRDefault="0045243E" w:rsidP="004B3025">
      <w:pPr>
        <w:topLinePunct/>
        <w:snapToGrid w:val="0"/>
        <w:spacing w:line="329" w:lineRule="auto"/>
        <w:jc w:val="center"/>
        <w:rPr>
          <w:rFonts w:ascii="Times New Roman" w:hAnsi="Times New Roman" w:cs="Times New Roman"/>
          <w:b/>
          <w:bCs/>
          <w:snapToGrid w:val="0"/>
          <w:sz w:val="24"/>
          <w:szCs w:val="24"/>
          <w:lang w:eastAsia="zh-TW"/>
        </w:rPr>
      </w:pPr>
      <w:r w:rsidRPr="006B344C">
        <w:rPr>
          <w:rFonts w:ascii="Times New Roman" w:hAnsi="Times New Roman" w:cs="Times New Roman" w:hint="eastAsia"/>
          <w:b/>
          <w:bCs/>
          <w:snapToGrid w:val="0"/>
          <w:sz w:val="24"/>
          <w:szCs w:val="24"/>
        </w:rPr>
        <w:t>表</w:t>
      </w:r>
      <w:r w:rsidRPr="006B344C">
        <w:rPr>
          <w:rFonts w:ascii="Times New Roman" w:hAnsi="Times New Roman" w:cs="Times New Roman"/>
          <w:b/>
          <w:bCs/>
          <w:snapToGrid w:val="0"/>
          <w:sz w:val="24"/>
          <w:szCs w:val="24"/>
        </w:rPr>
        <w:t>4  10</w:t>
      </w:r>
      <w:r w:rsidRPr="006B344C">
        <w:rPr>
          <w:rFonts w:ascii="Times New Roman" w:hAnsi="Times New Roman" w:cs="Times New Roman" w:hint="eastAsia"/>
          <w:b/>
          <w:bCs/>
          <w:snapToGrid w:val="0"/>
          <w:sz w:val="24"/>
          <w:szCs w:val="24"/>
        </w:rPr>
        <w:t>分制成绩换算表</w:t>
      </w:r>
    </w:p>
    <w:p w:rsidR="0045243E" w:rsidRPr="006B344C" w:rsidRDefault="0045243E" w:rsidP="004B3025">
      <w:pPr>
        <w:topLinePunct/>
        <w:snapToGrid w:val="0"/>
        <w:spacing w:line="329" w:lineRule="auto"/>
        <w:rPr>
          <w:rFonts w:ascii="Times New Roman" w:hAnsi="Times New Roman" w:cs="Times New Roman"/>
          <w:b/>
          <w:kern w:val="0"/>
          <w:sz w:val="24"/>
          <w:szCs w:val="24"/>
          <w:u w:val="single"/>
        </w:rPr>
      </w:pPr>
    </w:p>
    <w:p w:rsidR="0045243E" w:rsidRPr="006B344C" w:rsidRDefault="0045243E" w:rsidP="004B3025">
      <w:pPr>
        <w:topLinePunct/>
        <w:snapToGrid w:val="0"/>
        <w:spacing w:line="329" w:lineRule="auto"/>
        <w:jc w:val="center"/>
        <w:rPr>
          <w:rFonts w:ascii="Times New Roman" w:hAnsi="Times New Roman" w:cs="Times New Roman"/>
          <w:b/>
          <w:bCs/>
          <w:snapToGrid w:val="0"/>
          <w:sz w:val="24"/>
          <w:szCs w:val="24"/>
          <w:lang w:eastAsia="zh-TW"/>
        </w:rPr>
      </w:pPr>
      <w:r w:rsidRPr="006B344C">
        <w:rPr>
          <w:rFonts w:ascii="Times New Roman" w:hAnsi="Times New Roman" w:cs="Times New Roman" w:hint="eastAsia"/>
          <w:b/>
          <w:bCs/>
          <w:snapToGrid w:val="0"/>
          <w:sz w:val="24"/>
          <w:szCs w:val="24"/>
        </w:rPr>
        <w:t>表</w:t>
      </w:r>
      <w:r w:rsidRPr="006B344C">
        <w:rPr>
          <w:rFonts w:ascii="Times New Roman" w:hAnsi="Times New Roman" w:cs="Times New Roman"/>
          <w:b/>
          <w:bCs/>
          <w:snapToGrid w:val="0"/>
          <w:sz w:val="24"/>
          <w:szCs w:val="24"/>
        </w:rPr>
        <w:t xml:space="preserve">5  </w:t>
      </w:r>
      <w:r w:rsidRPr="006B344C">
        <w:rPr>
          <w:rFonts w:ascii="Times New Roman" w:hAnsi="Times New Roman" w:cs="Times New Roman" w:hint="eastAsia"/>
          <w:b/>
          <w:bCs/>
          <w:snapToGrid w:val="0"/>
          <w:sz w:val="24"/>
          <w:szCs w:val="24"/>
        </w:rPr>
        <w:t>法国</w:t>
      </w:r>
      <w:r w:rsidRPr="006B344C">
        <w:rPr>
          <w:rFonts w:ascii="Times New Roman" w:hAnsi="Times New Roman" w:cs="Times New Roman"/>
          <w:b/>
          <w:bCs/>
          <w:snapToGrid w:val="0"/>
          <w:sz w:val="24"/>
          <w:szCs w:val="24"/>
        </w:rPr>
        <w:t>20</w:t>
      </w:r>
      <w:r w:rsidRPr="006B344C">
        <w:rPr>
          <w:rFonts w:ascii="Times New Roman" w:hAnsi="Times New Roman" w:cs="Times New Roman" w:hint="eastAsia"/>
          <w:b/>
          <w:bCs/>
          <w:snapToGrid w:val="0"/>
          <w:sz w:val="24"/>
          <w:szCs w:val="24"/>
        </w:rPr>
        <w:t>分制成绩换算表</w:t>
      </w:r>
    </w:p>
    <w:tbl>
      <w:tblPr>
        <w:tblpPr w:leftFromText="180" w:rightFromText="180" w:vertAnchor="text" w:horzAnchor="page" w:tblpXSpec="center" w:tblpY="160"/>
        <w:tblW w:w="9356" w:type="dxa"/>
        <w:tblLayout w:type="fixed"/>
        <w:tblLook w:val="04A0" w:firstRow="1" w:lastRow="0" w:firstColumn="1" w:lastColumn="0" w:noHBand="0" w:noVBand="1"/>
      </w:tblPr>
      <w:tblGrid>
        <w:gridCol w:w="1097"/>
        <w:gridCol w:w="891"/>
        <w:gridCol w:w="902"/>
        <w:gridCol w:w="977"/>
        <w:gridCol w:w="960"/>
        <w:gridCol w:w="1096"/>
        <w:gridCol w:w="1096"/>
        <w:gridCol w:w="764"/>
        <w:gridCol w:w="749"/>
        <w:gridCol w:w="824"/>
      </w:tblGrid>
      <w:tr w:rsidR="0045243E" w:rsidRPr="006B344C" w:rsidTr="00EB08D3">
        <w:trPr>
          <w:trHeight w:val="600"/>
        </w:trPr>
        <w:tc>
          <w:tcPr>
            <w:tcW w:w="1136" w:type="dxa"/>
            <w:tcBorders>
              <w:top w:val="single" w:sz="4" w:space="0" w:color="auto"/>
              <w:left w:val="single" w:sz="4" w:space="0" w:color="auto"/>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b/>
                <w:bCs/>
                <w:kern w:val="0"/>
                <w:sz w:val="24"/>
                <w:szCs w:val="24"/>
              </w:rPr>
            </w:pPr>
            <w:r w:rsidRPr="006B344C">
              <w:rPr>
                <w:rFonts w:ascii="Times New Roman" w:hAnsi="Times New Roman" w:cs="Times New Roman" w:hint="eastAsia"/>
                <w:b/>
                <w:bCs/>
                <w:kern w:val="0"/>
                <w:sz w:val="24"/>
                <w:szCs w:val="24"/>
              </w:rPr>
              <w:t>法国</w:t>
            </w:r>
          </w:p>
        </w:tc>
        <w:tc>
          <w:tcPr>
            <w:tcW w:w="920" w:type="dxa"/>
            <w:tcBorders>
              <w:top w:val="single" w:sz="4" w:space="0" w:color="auto"/>
              <w:left w:val="nil"/>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kern w:val="0"/>
                <w:sz w:val="24"/>
                <w:szCs w:val="24"/>
                <w:lang w:eastAsia="zh-TW"/>
              </w:rPr>
            </w:pPr>
            <w:r w:rsidRPr="006B344C">
              <w:rPr>
                <w:rFonts w:ascii="Times New Roman" w:hAnsi="Times New Roman" w:cs="Times New Roman"/>
                <w:kern w:val="0"/>
                <w:sz w:val="24"/>
                <w:szCs w:val="24"/>
              </w:rPr>
              <w:t>16</w:t>
            </w:r>
            <w:r w:rsidRPr="006B344C">
              <w:rPr>
                <w:rFonts w:ascii="Times New Roman" w:hAnsi="Times New Roman" w:cs="Times New Roman"/>
                <w:kern w:val="0"/>
                <w:sz w:val="24"/>
                <w:szCs w:val="24"/>
              </w:rPr>
              <w:t>表换算</w:t>
            </w:r>
          </w:p>
        </w:tc>
        <w:tc>
          <w:tcPr>
            <w:tcW w:w="932" w:type="dxa"/>
            <w:tcBorders>
              <w:top w:val="single" w:sz="4" w:space="0" w:color="auto"/>
              <w:left w:val="nil"/>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14-15.9</w:t>
            </w:r>
          </w:p>
        </w:tc>
        <w:tc>
          <w:tcPr>
            <w:tcW w:w="1010" w:type="dxa"/>
            <w:tcBorders>
              <w:top w:val="single" w:sz="4" w:space="0" w:color="auto"/>
              <w:left w:val="nil"/>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12-15.9</w:t>
            </w:r>
          </w:p>
        </w:tc>
        <w:tc>
          <w:tcPr>
            <w:tcW w:w="992" w:type="dxa"/>
            <w:tcBorders>
              <w:top w:val="single" w:sz="4" w:space="0" w:color="auto"/>
              <w:left w:val="nil"/>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11-15.9</w:t>
            </w:r>
          </w:p>
        </w:tc>
        <w:tc>
          <w:tcPr>
            <w:tcW w:w="1134" w:type="dxa"/>
            <w:tcBorders>
              <w:top w:val="single" w:sz="4" w:space="0" w:color="auto"/>
              <w:left w:val="nil"/>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10.55.9</w:t>
            </w:r>
            <w:r w:rsidRPr="006B344C">
              <w:rPr>
                <w:rFonts w:ascii="Times New Roman" w:hAnsi="Times New Roman" w:cs="Times New Roman"/>
                <w:kern w:val="0"/>
                <w:sz w:val="24"/>
                <w:szCs w:val="24"/>
              </w:rPr>
              <w:t>准体</w:t>
            </w:r>
          </w:p>
        </w:tc>
        <w:tc>
          <w:tcPr>
            <w:tcW w:w="1134" w:type="dxa"/>
            <w:tcBorders>
              <w:top w:val="single" w:sz="4" w:space="0" w:color="auto"/>
              <w:left w:val="nil"/>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10.15.9</w:t>
            </w:r>
            <w:r w:rsidRPr="006B344C">
              <w:rPr>
                <w:rFonts w:ascii="Times New Roman" w:hAnsi="Times New Roman" w:cs="Times New Roman"/>
                <w:kern w:val="0"/>
                <w:sz w:val="24"/>
                <w:szCs w:val="24"/>
              </w:rPr>
              <w:t>准体</w:t>
            </w:r>
          </w:p>
        </w:tc>
        <w:tc>
          <w:tcPr>
            <w:tcW w:w="788" w:type="dxa"/>
            <w:tcBorders>
              <w:top w:val="single" w:sz="4" w:space="0" w:color="auto"/>
              <w:left w:val="nil"/>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10</w:t>
            </w:r>
          </w:p>
        </w:tc>
        <w:tc>
          <w:tcPr>
            <w:tcW w:w="772" w:type="dxa"/>
            <w:tcBorders>
              <w:top w:val="single" w:sz="4" w:space="0" w:color="auto"/>
              <w:left w:val="nil"/>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90.15</w:t>
            </w:r>
          </w:p>
        </w:tc>
        <w:tc>
          <w:tcPr>
            <w:tcW w:w="850" w:type="dxa"/>
            <w:tcBorders>
              <w:top w:val="single" w:sz="4" w:space="0" w:color="auto"/>
              <w:left w:val="nil"/>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80.15</w:t>
            </w:r>
          </w:p>
        </w:tc>
      </w:tr>
      <w:tr w:rsidR="0045243E" w:rsidRPr="006B344C" w:rsidTr="00EB08D3">
        <w:trPr>
          <w:trHeight w:val="600"/>
        </w:trPr>
        <w:tc>
          <w:tcPr>
            <w:tcW w:w="1136" w:type="dxa"/>
            <w:tcBorders>
              <w:top w:val="nil"/>
              <w:left w:val="single" w:sz="4" w:space="0" w:color="auto"/>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b/>
                <w:bCs/>
                <w:kern w:val="0"/>
                <w:sz w:val="24"/>
                <w:szCs w:val="24"/>
              </w:rPr>
            </w:pPr>
            <w:r w:rsidRPr="006B344C">
              <w:rPr>
                <w:rFonts w:ascii="Times New Roman" w:hAnsi="Times New Roman" w:cs="Times New Roman" w:hint="eastAsia"/>
                <w:b/>
                <w:bCs/>
                <w:kern w:val="0"/>
                <w:sz w:val="24"/>
                <w:szCs w:val="24"/>
              </w:rPr>
              <w:t>成绩等级</w:t>
            </w:r>
          </w:p>
        </w:tc>
        <w:tc>
          <w:tcPr>
            <w:tcW w:w="920" w:type="dxa"/>
            <w:tcBorders>
              <w:top w:val="nil"/>
              <w:left w:val="nil"/>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A</w:t>
            </w:r>
          </w:p>
        </w:tc>
        <w:tc>
          <w:tcPr>
            <w:tcW w:w="932" w:type="dxa"/>
            <w:tcBorders>
              <w:top w:val="nil"/>
              <w:left w:val="nil"/>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A-</w:t>
            </w:r>
          </w:p>
        </w:tc>
        <w:tc>
          <w:tcPr>
            <w:tcW w:w="1010" w:type="dxa"/>
            <w:tcBorders>
              <w:top w:val="nil"/>
              <w:left w:val="nil"/>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B+</w:t>
            </w:r>
          </w:p>
        </w:tc>
        <w:tc>
          <w:tcPr>
            <w:tcW w:w="992" w:type="dxa"/>
            <w:tcBorders>
              <w:top w:val="nil"/>
              <w:left w:val="nil"/>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B</w:t>
            </w:r>
          </w:p>
        </w:tc>
        <w:tc>
          <w:tcPr>
            <w:tcW w:w="1134" w:type="dxa"/>
            <w:tcBorders>
              <w:top w:val="nil"/>
              <w:left w:val="nil"/>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B-</w:t>
            </w:r>
          </w:p>
        </w:tc>
        <w:tc>
          <w:tcPr>
            <w:tcW w:w="1134" w:type="dxa"/>
            <w:tcBorders>
              <w:top w:val="nil"/>
              <w:left w:val="nil"/>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C</w:t>
            </w:r>
            <w:r w:rsidRPr="006B344C">
              <w:rPr>
                <w:rFonts w:ascii="Times New Roman" w:hAnsi="Times New Roman" w:cs="Times New Roman" w:hint="eastAsia"/>
                <w:kern w:val="0"/>
                <w:sz w:val="24"/>
                <w:szCs w:val="24"/>
              </w:rPr>
              <w:t>＋</w:t>
            </w:r>
          </w:p>
        </w:tc>
        <w:tc>
          <w:tcPr>
            <w:tcW w:w="788" w:type="dxa"/>
            <w:tcBorders>
              <w:top w:val="nil"/>
              <w:left w:val="nil"/>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C</w:t>
            </w:r>
          </w:p>
        </w:tc>
        <w:tc>
          <w:tcPr>
            <w:tcW w:w="772" w:type="dxa"/>
            <w:tcBorders>
              <w:top w:val="nil"/>
              <w:left w:val="nil"/>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C-</w:t>
            </w:r>
          </w:p>
        </w:tc>
        <w:tc>
          <w:tcPr>
            <w:tcW w:w="850" w:type="dxa"/>
            <w:tcBorders>
              <w:top w:val="nil"/>
              <w:left w:val="nil"/>
              <w:bottom w:val="single" w:sz="4" w:space="0" w:color="auto"/>
              <w:right w:val="single" w:sz="4" w:space="0" w:color="auto"/>
            </w:tcBorders>
            <w:vAlign w:val="center"/>
            <w:hideMark/>
          </w:tcPr>
          <w:p w:rsidR="0045243E" w:rsidRPr="006B344C" w:rsidRDefault="0045243E" w:rsidP="00EB08D3">
            <w:pPr>
              <w:spacing w:line="329" w:lineRule="auto"/>
              <w:jc w:val="center"/>
              <w:rPr>
                <w:rFonts w:ascii="Times New Roman" w:hAnsi="Times New Roman" w:cs="Times New Roman"/>
                <w:kern w:val="0"/>
                <w:sz w:val="24"/>
                <w:szCs w:val="24"/>
              </w:rPr>
            </w:pPr>
            <w:r w:rsidRPr="006B344C">
              <w:rPr>
                <w:rFonts w:ascii="Times New Roman" w:hAnsi="Times New Roman" w:cs="Times New Roman"/>
                <w:kern w:val="0"/>
                <w:sz w:val="24"/>
                <w:szCs w:val="24"/>
              </w:rPr>
              <w:t>D</w:t>
            </w:r>
          </w:p>
        </w:tc>
      </w:tr>
    </w:tbl>
    <w:p w:rsidR="0045243E" w:rsidRPr="006B344C" w:rsidRDefault="0045243E" w:rsidP="004B3025">
      <w:pPr>
        <w:topLinePunct/>
        <w:snapToGrid w:val="0"/>
        <w:spacing w:line="329" w:lineRule="auto"/>
        <w:jc w:val="left"/>
        <w:rPr>
          <w:rFonts w:ascii="Times New Roman" w:hAnsi="Times New Roman" w:cs="Times New Roman"/>
          <w:kern w:val="0"/>
          <w:sz w:val="24"/>
          <w:szCs w:val="24"/>
        </w:rPr>
      </w:pP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3</w:t>
      </w:r>
      <w:r w:rsidRPr="006B344C">
        <w:rPr>
          <w:rFonts w:ascii="Times New Roman" w:hAnsi="Times New Roman" w:cs="Times New Roman" w:hint="eastAsia"/>
          <w:sz w:val="24"/>
          <w:szCs w:val="24"/>
        </w:rPr>
        <w:t>．如果学生在对方学校所修课程成绩以“合格、不合格”的形式登录，“合格”转换为“</w:t>
      </w:r>
      <w:r w:rsidRPr="006B344C">
        <w:rPr>
          <w:rFonts w:ascii="Times New Roman" w:hAnsi="Times New Roman" w:cs="Times New Roman" w:hint="eastAsia"/>
          <w:sz w:val="24"/>
          <w:szCs w:val="24"/>
        </w:rPr>
        <w:t>80</w:t>
      </w:r>
      <w:r w:rsidRPr="006B344C">
        <w:rPr>
          <w:rFonts w:ascii="Times New Roman" w:hAnsi="Times New Roman" w:cs="Times New Roman" w:hint="eastAsia"/>
          <w:sz w:val="24"/>
          <w:szCs w:val="24"/>
        </w:rPr>
        <w:t>”分。</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4</w:t>
      </w:r>
      <w:r w:rsidRPr="006B344C">
        <w:rPr>
          <w:rFonts w:ascii="Times New Roman" w:hAnsi="Times New Roman" w:cs="Times New Roman" w:hint="eastAsia"/>
          <w:sz w:val="24"/>
          <w:szCs w:val="24"/>
        </w:rPr>
        <w:t>．若有其他计分形式，由教务处商相关学院确定。</w:t>
      </w:r>
    </w:p>
    <w:p w:rsidR="0045243E" w:rsidRPr="006B344C" w:rsidRDefault="0045243E"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第五条</w:t>
      </w:r>
      <w:r w:rsidRPr="006B344C">
        <w:rPr>
          <w:rFonts w:ascii="Times New Roman" w:hAnsi="Times New Roman" w:cs="Times New Roman" w:hint="eastAsia"/>
          <w:sz w:val="24"/>
          <w:szCs w:val="24"/>
        </w:rPr>
        <w:t xml:space="preserve"> </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到境内高校交流学习的课程学分及成绩认定</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除修读学院指定应选修的课程外，学生还可根据自己的学习状况修读其它课程，返校后，学生根据对方学校出具的成绩单申请课程学分和成绩的转换。未申请转换的课程不纳入我校学生个人成绩单，不计算学分绩点。</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（二）学生填写“西南财经大学本科交流学生课程学分认定及成绩转换申请表”报学院。经学院认定，附成绩单复印件加盖公章后报教务处审核。</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（三）学生申请认定的课程名称统一为“国内交流课程”，其课程属性参照交流学生所在专业年级人才培养方案分别归类，认定学分的多少由学院根据学生学习课程的情况决定。</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（四）如交流学校同一专业课程总学分和单门课程学分与我校不一致，各学院可按我校要求的毕业总学分与对方学校的学生毕业总学分折算。</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计算方法为：</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折算单门课程学分</w:t>
      </w:r>
      <w:r w:rsidRPr="006B344C">
        <w:rPr>
          <w:rFonts w:ascii="Times New Roman" w:hAnsi="Times New Roman" w:cs="Times New Roman"/>
          <w:sz w:val="24"/>
          <w:szCs w:val="24"/>
        </w:rPr>
        <w:t>=</w:t>
      </w:r>
      <w:r w:rsidRPr="006B344C">
        <w:rPr>
          <w:rFonts w:ascii="Times New Roman" w:hAnsi="Times New Roman" w:cs="Times New Roman" w:hint="eastAsia"/>
          <w:sz w:val="24"/>
          <w:szCs w:val="24"/>
        </w:rPr>
        <w:t>对方学校单门课程学分</w:t>
      </w:r>
      <w:r w:rsidRPr="006B344C">
        <w:rPr>
          <w:rFonts w:ascii="Times New Roman" w:hAnsi="Times New Roman" w:cs="Times New Roman"/>
          <w:sz w:val="24"/>
          <w:szCs w:val="24"/>
        </w:rPr>
        <w:t>*</w:t>
      </w:r>
      <w:r w:rsidRPr="006B344C">
        <w:rPr>
          <w:rFonts w:ascii="Times New Roman" w:hAnsi="Times New Roman" w:cs="Times New Roman" w:hint="eastAsia"/>
          <w:sz w:val="24"/>
          <w:szCs w:val="24"/>
        </w:rPr>
        <w:t>（我校课程学分总数</w:t>
      </w:r>
      <w:r w:rsidRPr="006B344C">
        <w:rPr>
          <w:rFonts w:ascii="Times New Roman" w:hAnsi="Times New Roman" w:cs="Times New Roman"/>
          <w:sz w:val="24"/>
          <w:szCs w:val="24"/>
        </w:rPr>
        <w:t>/</w:t>
      </w:r>
      <w:r w:rsidRPr="006B344C">
        <w:rPr>
          <w:rFonts w:ascii="Times New Roman" w:hAnsi="Times New Roman" w:cs="Times New Roman" w:hint="eastAsia"/>
          <w:sz w:val="24"/>
          <w:szCs w:val="24"/>
        </w:rPr>
        <w:t>对方学校课程学分总数），如出现小数，允许四舍五入。</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（五）认定后的各不同属性课程成绩纳入学生成绩学分绩点的计算。</w:t>
      </w:r>
    </w:p>
    <w:p w:rsidR="0045243E" w:rsidRPr="006B344C" w:rsidRDefault="0045243E"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到国（境）外高校交流学习的课程认定及学分、成绩转换的基本程序</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（一）学生学习期满返校后在交流生管理系统填写交流学习返校申请，学籍异动后方可申请学分认定。</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学生在交流生管理系统填写课程转换信息，确定学分转换比例，并上传成绩单原件及相关证明材料。学生所在学院对转换申请进行初审，项目归口单位审核学生成绩单，教务处对转换申请进行复审，审核通过后转为相应的交流学习课程。</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（三）交流学生同一个项目的交流学习只能申请一次学分转换，学生申请学分转换之后不得更改。教务处对学分转换材料进行备案。</w:t>
      </w:r>
    </w:p>
    <w:p w:rsidR="0045243E" w:rsidRPr="006B344C" w:rsidRDefault="0045243E"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第七条</w:t>
      </w:r>
      <w:r w:rsidRPr="006B344C">
        <w:rPr>
          <w:rFonts w:ascii="Times New Roman" w:hAnsi="Times New Roman" w:cs="Times New Roman" w:hint="eastAsia"/>
          <w:sz w:val="24"/>
          <w:szCs w:val="24"/>
        </w:rPr>
        <w:t xml:space="preserve"> </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到境内高校交流学习的课程认定及学分、成绩转换的基本程序</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境内高校交流学习的学分转换在线下进行。学生在教务处主页下载并填写“西南财经大学交流学生课程学分认定及成绩转换申请表”，连同对方学校提供的成绩单原件一起提交所在学院（中心）审查。学院（中心）将审查后的申请表及学院（中心）认定后的成绩单盖章一并交教务处审核批准转换。</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（二）经审核的“西南财经大学交流学生课程学分认定及成绩转换申请表”原件由相关学院（中心）存档，“申请表”、成绩单复印件由教务处备案。</w:t>
      </w:r>
    </w:p>
    <w:p w:rsidR="0045243E" w:rsidRPr="006B344C" w:rsidRDefault="0045243E"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第八条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交流学生转专业处理</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（一）到境内高校交流学习的学生</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到境内高校交流学生完成交流学习后不能申请转专业，只做申请学分认定。</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（二）到国（境）外高校交流学生</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1</w:t>
      </w:r>
      <w:r w:rsidRPr="006B344C">
        <w:rPr>
          <w:rFonts w:ascii="Times New Roman" w:hAnsi="Times New Roman" w:cs="Times New Roman" w:hint="eastAsia"/>
          <w:sz w:val="24"/>
          <w:szCs w:val="24"/>
        </w:rPr>
        <w:t>．获得对方毕业证书和（或）学位证书的项目，学生获得证书回校后，如学生交流学习专业与在我校修读专业（下称原专业）相同，应申请原专业毕业；如交流所学专业与原专业不同，可申请转专业毕业；如未获得对方证书回校，不允许申请转专业。</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学生在外学习结束后如申请转专业，须按《西南财经大学普通全日制本科生转专业学习工作细则》有关学校转专业要求进行审核，如符合转专业报名资格，且在申请时已经完成我校转入专业准入、准出课程并且合格的，经拟转出、转入学院同意后，由教务处复核报学校审批后可转专业。</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如不符合转专业条件且原专业教学计划未完成可在最长修业年限内修读课程申请毕业。</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2</w:t>
      </w:r>
      <w:r w:rsidRPr="006B344C">
        <w:rPr>
          <w:rFonts w:ascii="Times New Roman" w:hAnsi="Times New Roman" w:cs="Times New Roman" w:hint="eastAsia"/>
          <w:sz w:val="24"/>
          <w:szCs w:val="24"/>
        </w:rPr>
        <w:t>．不获得对方毕业证书和学位证书的项目，学生不能申请转专业，只能申请学分认定。</w:t>
      </w:r>
    </w:p>
    <w:p w:rsidR="0045243E" w:rsidRPr="006B344C" w:rsidRDefault="0045243E">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3</w:t>
      </w:r>
      <w:r w:rsidRPr="006B344C">
        <w:rPr>
          <w:rFonts w:ascii="Times New Roman" w:hAnsi="Times New Roman" w:cs="Times New Roman" w:hint="eastAsia"/>
          <w:sz w:val="24"/>
          <w:szCs w:val="24"/>
        </w:rPr>
        <w:t>．在派出交流学习前已经转专业的学生，不得再次申请转专业。</w:t>
      </w:r>
    </w:p>
    <w:p w:rsidR="0045243E" w:rsidRPr="006B344C" w:rsidRDefault="0045243E"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（三）学校不受理自行联系交流学生的转专业申请。</w:t>
      </w:r>
    </w:p>
    <w:p w:rsidR="0045243E" w:rsidRPr="006B344C" w:rsidRDefault="0045243E" w:rsidP="00752766">
      <w:pPr>
        <w:spacing w:line="329" w:lineRule="auto"/>
        <w:ind w:firstLineChars="200" w:firstLine="480"/>
        <w:rPr>
          <w:rFonts w:ascii="Times New Roman" w:hAnsi="Times New Roman" w:cs="Times New Roman"/>
          <w:kern w:val="0"/>
          <w:sz w:val="24"/>
          <w:szCs w:val="24"/>
          <w:lang w:eastAsia="zh-TW"/>
        </w:rPr>
      </w:pPr>
      <w:r w:rsidRPr="006B344C">
        <w:rPr>
          <w:rFonts w:ascii="Times New Roman" w:hAnsi="Times New Roman" w:cs="Times New Roman" w:hint="eastAsia"/>
          <w:b/>
          <w:sz w:val="24"/>
          <w:szCs w:val="24"/>
        </w:rPr>
        <w:t>第九条</w:t>
      </w:r>
      <w:r w:rsidRPr="006B344C">
        <w:rPr>
          <w:rFonts w:ascii="Times New Roman" w:hAnsi="Times New Roman" w:cs="Times New Roman"/>
          <w:sz w:val="24"/>
          <w:szCs w:val="24"/>
        </w:rPr>
        <w:t xml:space="preserve">  </w:t>
      </w:r>
      <w:r w:rsidRPr="006B344C">
        <w:rPr>
          <w:rFonts w:ascii="Times New Roman" w:hAnsi="Times New Roman" w:cs="Times New Roman" w:hint="eastAsia"/>
          <w:kern w:val="0"/>
          <w:sz w:val="24"/>
          <w:szCs w:val="24"/>
        </w:rPr>
        <w:t>本办法由教务处、</w:t>
      </w:r>
      <w:r w:rsidRPr="006B344C">
        <w:rPr>
          <w:rFonts w:ascii="Times New Roman" w:hAnsi="Times New Roman" w:cs="Times New Roman" w:hint="eastAsia"/>
          <w:sz w:val="24"/>
          <w:szCs w:val="24"/>
        </w:rPr>
        <w:t>国际交流与合作处</w:t>
      </w:r>
      <w:r w:rsidRPr="006B344C">
        <w:rPr>
          <w:rFonts w:ascii="Times New Roman" w:hAnsi="Times New Roman" w:cs="Times New Roman" w:hint="eastAsia"/>
          <w:kern w:val="0"/>
          <w:sz w:val="24"/>
          <w:szCs w:val="24"/>
        </w:rPr>
        <w:t>负责解释。</w:t>
      </w:r>
    </w:p>
    <w:p w:rsidR="0045243E" w:rsidRPr="006B344C" w:rsidRDefault="0045243E"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本办法自</w:t>
      </w:r>
      <w:r w:rsidRPr="006B344C">
        <w:rPr>
          <w:rFonts w:ascii="Times New Roman" w:hAnsi="Times New Roman" w:cs="Times New Roman"/>
          <w:sz w:val="24"/>
          <w:szCs w:val="24"/>
        </w:rPr>
        <w:t>2017</w:t>
      </w:r>
      <w:r w:rsidRPr="006B344C">
        <w:rPr>
          <w:rFonts w:ascii="Times New Roman" w:hAnsi="Times New Roman" w:cs="Times New Roman" w:hint="eastAsia"/>
          <w:sz w:val="24"/>
          <w:szCs w:val="24"/>
        </w:rPr>
        <w:t>年</w:t>
      </w:r>
      <w:r w:rsidRPr="006B344C">
        <w:rPr>
          <w:rFonts w:ascii="Times New Roman" w:hAnsi="Times New Roman" w:cs="Times New Roman"/>
          <w:sz w:val="24"/>
          <w:szCs w:val="24"/>
        </w:rPr>
        <w:t>9</w:t>
      </w:r>
      <w:r w:rsidRPr="006B344C">
        <w:rPr>
          <w:rFonts w:ascii="Times New Roman" w:hAnsi="Times New Roman" w:cs="Times New Roman" w:hint="eastAsia"/>
          <w:sz w:val="24"/>
          <w:szCs w:val="24"/>
        </w:rPr>
        <w:t>月</w:t>
      </w:r>
      <w:r w:rsidRPr="006B344C">
        <w:rPr>
          <w:rFonts w:ascii="Times New Roman" w:hAnsi="Times New Roman" w:cs="Times New Roman"/>
          <w:sz w:val="24"/>
          <w:szCs w:val="24"/>
        </w:rPr>
        <w:t>1</w:t>
      </w:r>
      <w:r w:rsidRPr="006B344C">
        <w:rPr>
          <w:rFonts w:ascii="Times New Roman" w:hAnsi="Times New Roman" w:cs="Times New Roman" w:hint="eastAsia"/>
          <w:sz w:val="24"/>
          <w:szCs w:val="24"/>
        </w:rPr>
        <w:t>日起施行，原《西南财经大学本科交流学生课程认定及学分转换办法》同时废止。</w:t>
      </w: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p>
    <w:p w:rsidR="0045243E" w:rsidRPr="006B344C" w:rsidRDefault="0045243E" w:rsidP="004B3025">
      <w:pPr>
        <w:snapToGrid w:val="0"/>
        <w:spacing w:line="329" w:lineRule="auto"/>
        <w:jc w:val="left"/>
        <w:rPr>
          <w:rFonts w:ascii="Times New Roman" w:hAnsi="Times New Roman" w:cs="Times New Roman"/>
          <w:sz w:val="24"/>
          <w:szCs w:val="24"/>
        </w:rPr>
      </w:pPr>
      <w:r>
        <w:rPr>
          <w:rFonts w:ascii="Times New Roman" w:hAnsi="Times New Roman" w:cs="Times New Roman"/>
          <w:sz w:val="24"/>
          <w:szCs w:val="24"/>
        </w:rPr>
        <w:pict>
          <v:rect id="_x0000_i1025" style="width:137.15pt;height:.75pt" o:hrpct="330" o:hrstd="t" o:hr="t" fillcolor="#a0a0a0" stroked="f"/>
        </w:pict>
      </w:r>
    </w:p>
    <w:p w:rsidR="0045243E" w:rsidRPr="006B344C" w:rsidRDefault="0045243E" w:rsidP="00EB08D3">
      <w:pPr>
        <w:snapToGrid w:val="0"/>
        <w:rPr>
          <w:rFonts w:ascii="Times New Roman" w:hAnsi="Times New Roman" w:cs="Times New Roman"/>
          <w:sz w:val="24"/>
          <w:szCs w:val="24"/>
        </w:rPr>
      </w:pPr>
      <w:hyperlink r:id="rId5" w:anchor="_ftnref1" w:history="1">
        <w:r w:rsidRPr="006B344C">
          <w:rPr>
            <w:rStyle w:val="a4"/>
            <w:rFonts w:ascii="Times New Roman" w:hAnsi="Times New Roman" w:cs="Times New Roman"/>
            <w:sz w:val="24"/>
            <w:szCs w:val="24"/>
            <w:u w:val="single"/>
          </w:rPr>
          <w:t>[1]</w:t>
        </w:r>
      </w:hyperlink>
      <w:r w:rsidRPr="006B344C">
        <w:rPr>
          <w:rStyle w:val="a4"/>
          <w:rFonts w:ascii="Times New Roman" w:hAnsi="Times New Roman" w:cs="Times New Roman" w:hint="eastAsia"/>
          <w:sz w:val="24"/>
          <w:szCs w:val="24"/>
        </w:rPr>
        <w:t>折算方法范例：如对方学校要求学生毕业学分为</w:t>
      </w:r>
      <w:r w:rsidRPr="006B344C">
        <w:rPr>
          <w:rStyle w:val="a4"/>
          <w:rFonts w:ascii="Times New Roman" w:hAnsi="Times New Roman" w:cs="Times New Roman"/>
          <w:sz w:val="24"/>
          <w:szCs w:val="24"/>
        </w:rPr>
        <w:t>130</w:t>
      </w:r>
      <w:r w:rsidRPr="006B344C">
        <w:rPr>
          <w:rStyle w:val="a4"/>
          <w:rFonts w:ascii="Times New Roman" w:hAnsi="Times New Roman" w:cs="Times New Roman" w:hint="eastAsia"/>
          <w:sz w:val="24"/>
          <w:szCs w:val="24"/>
        </w:rPr>
        <w:t>学分，交流学生在对方学校修学的学分折算我校学分：</w:t>
      </w:r>
      <w:r w:rsidRPr="006B344C">
        <w:rPr>
          <w:rStyle w:val="a4"/>
          <w:rFonts w:ascii="Times New Roman" w:hAnsi="Times New Roman" w:cs="Times New Roman"/>
          <w:sz w:val="24"/>
          <w:szCs w:val="24"/>
        </w:rPr>
        <w:t xml:space="preserve"> 172</w:t>
      </w:r>
      <w:r w:rsidRPr="006B344C">
        <w:rPr>
          <w:rStyle w:val="a4"/>
          <w:rFonts w:ascii="Times New Roman" w:hAnsi="Times New Roman" w:cs="Times New Roman"/>
          <w:sz w:val="24"/>
          <w:szCs w:val="24"/>
        </w:rPr>
        <w:t>流学生在对方学校</w:t>
      </w:r>
      <w:r w:rsidRPr="006B344C">
        <w:rPr>
          <w:rStyle w:val="a4"/>
          <w:rFonts w:ascii="Times New Roman" w:hAnsi="Times New Roman" w:cs="Times New Roman" w:hint="eastAsia"/>
          <w:sz w:val="24"/>
          <w:szCs w:val="24"/>
        </w:rPr>
        <w:t>，</w:t>
      </w:r>
      <w:r w:rsidRPr="006B344C">
        <w:rPr>
          <w:rStyle w:val="a4"/>
          <w:rFonts w:ascii="Times New Roman" w:hAnsi="Times New Roman" w:cs="Times New Roman"/>
          <w:sz w:val="24"/>
          <w:szCs w:val="24"/>
        </w:rPr>
        <w:t>3</w:t>
      </w:r>
      <w:r w:rsidRPr="006B344C">
        <w:rPr>
          <w:rStyle w:val="a4"/>
          <w:rFonts w:ascii="Times New Roman" w:hAnsi="Times New Roman" w:cs="Times New Roman" w:hint="eastAsia"/>
          <w:sz w:val="24"/>
          <w:szCs w:val="24"/>
        </w:rPr>
        <w:t>学分的课程可折算为</w:t>
      </w:r>
      <w:r w:rsidRPr="006B344C">
        <w:rPr>
          <w:rStyle w:val="a4"/>
          <w:rFonts w:ascii="Times New Roman" w:hAnsi="Times New Roman" w:cs="Times New Roman"/>
          <w:sz w:val="24"/>
          <w:szCs w:val="24"/>
        </w:rPr>
        <w:t>3</w:t>
      </w:r>
      <w:r w:rsidRPr="006B344C">
        <w:rPr>
          <w:rStyle w:val="a4"/>
          <w:rFonts w:ascii="Times New Roman" w:hAnsi="Times New Roman" w:cs="Times New Roman"/>
          <w:sz w:val="24"/>
          <w:szCs w:val="24"/>
        </w:rPr>
        <w:t>分的课程可折</w:t>
      </w:r>
      <w:r w:rsidRPr="006B344C">
        <w:rPr>
          <w:rStyle w:val="a4"/>
          <w:rFonts w:ascii="Times New Roman" w:hAnsi="Times New Roman" w:cs="Times New Roman" w:hint="eastAsia"/>
          <w:sz w:val="24"/>
          <w:szCs w:val="24"/>
        </w:rPr>
        <w:t>学分，转换为我校的学分最高不超过</w:t>
      </w:r>
      <w:r w:rsidRPr="006B344C">
        <w:rPr>
          <w:rStyle w:val="a4"/>
          <w:rFonts w:ascii="Times New Roman" w:hAnsi="Times New Roman" w:cs="Times New Roman"/>
          <w:sz w:val="24"/>
          <w:szCs w:val="24"/>
        </w:rPr>
        <w:t>5</w:t>
      </w:r>
      <w:r w:rsidRPr="006B344C">
        <w:rPr>
          <w:rStyle w:val="a4"/>
          <w:rFonts w:ascii="Times New Roman" w:hAnsi="Times New Roman" w:cs="Times New Roman" w:hint="eastAsia"/>
          <w:sz w:val="24"/>
          <w:szCs w:val="24"/>
        </w:rPr>
        <w:t>个学分。</w:t>
      </w:r>
    </w:p>
    <w:p w:rsidR="0045243E" w:rsidRDefault="0045243E" w:rsidP="0073246F">
      <w:pPr>
        <w:sectPr w:rsidR="0045243E" w:rsidSect="009D201D">
          <w:type w:val="continuous"/>
          <w:pgSz w:w="11906" w:h="16838" w:code="9"/>
          <w:pgMar w:top="1440" w:right="1797" w:bottom="1440" w:left="1797" w:header="851" w:footer="992" w:gutter="0"/>
          <w:pgNumType w:start="1"/>
          <w:cols w:space="425"/>
          <w:docGrid w:linePitch="312"/>
        </w:sectPr>
      </w:pPr>
    </w:p>
    <w:p w:rsidR="00EB39A2" w:rsidRDefault="00EB39A2"/>
    <w:sectPr w:rsidR="00EB39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3E"/>
    <w:rsid w:val="0045243E"/>
    <w:rsid w:val="00EB3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2D19630-1FA8-4116-9DF3-4D209798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5243E"/>
    <w:pPr>
      <w:keepNext/>
      <w:keepLines/>
      <w:spacing w:before="340" w:after="330" w:line="578" w:lineRule="auto"/>
      <w:outlineLvl w:val="0"/>
    </w:pPr>
    <w:rPr>
      <w:b/>
      <w:bCs/>
      <w:kern w:val="44"/>
      <w:sz w:val="44"/>
      <w:szCs w:val="44"/>
    </w:rPr>
  </w:style>
  <w:style w:type="paragraph" w:styleId="2">
    <w:name w:val="heading 2"/>
    <w:basedOn w:val="1"/>
    <w:next w:val="a"/>
    <w:link w:val="20"/>
    <w:uiPriority w:val="9"/>
    <w:unhideWhenUsed/>
    <w:qFormat/>
    <w:rsid w:val="0045243E"/>
    <w:pPr>
      <w:keepNext w:val="0"/>
      <w:keepLines w:val="0"/>
      <w:pageBreakBefore/>
      <w:spacing w:beforeLines="200" w:before="480" w:afterLines="200" w:after="480" w:line="240" w:lineRule="auto"/>
      <w:jc w:val="center"/>
      <w:outlineLvl w:val="1"/>
    </w:pPr>
    <w:rPr>
      <w:rFonts w:ascii="Times New Roman" w:eastAsia="黑体" w:hAnsi="Times New Roman" w:cs="Times New Roman"/>
      <w:bCs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5243E"/>
    <w:rPr>
      <w:rFonts w:ascii="Times New Roman" w:eastAsia="黑体" w:hAnsi="Times New Roman" w:cs="Times New Roman"/>
      <w:b/>
      <w:kern w:val="0"/>
      <w:sz w:val="32"/>
      <w:szCs w:val="32"/>
    </w:rPr>
  </w:style>
  <w:style w:type="character" w:styleId="a3">
    <w:name w:val="Hyperlink"/>
    <w:basedOn w:val="a0"/>
    <w:uiPriority w:val="99"/>
    <w:unhideWhenUsed/>
    <w:rsid w:val="0045243E"/>
    <w:rPr>
      <w:color w:val="0563C1" w:themeColor="hyperlink"/>
      <w:u w:val="single"/>
    </w:rPr>
  </w:style>
  <w:style w:type="character" w:styleId="a4">
    <w:name w:val="footnote reference"/>
    <w:uiPriority w:val="99"/>
    <w:semiHidden/>
    <w:unhideWhenUsed/>
    <w:rsid w:val="0045243E"/>
    <w:rPr>
      <w:vertAlign w:val="superscript"/>
    </w:rPr>
  </w:style>
  <w:style w:type="character" w:customStyle="1" w:styleId="10">
    <w:name w:val="标题 1 字符"/>
    <w:basedOn w:val="a0"/>
    <w:link w:val="1"/>
    <w:uiPriority w:val="9"/>
    <w:rsid w:val="0045243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wc.swufe.edu.cn/jwc/Gzzd/view.asp?id=385" TargetMode="External"/><Relationship Id="rId4" Type="http://schemas.openxmlformats.org/officeDocument/2006/relationships/hyperlink" Target="http://jwc.swufe.edu.cn/jwc/Gzzd/view.asp?id=38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3623</Characters>
  <Application>Microsoft Office Word</Application>
  <DocSecurity>0</DocSecurity>
  <Lines>30</Lines>
  <Paragraphs>8</Paragraphs>
  <ScaleCrop>false</ScaleCrop>
  <Company>中国石油大学</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冰</dc:creator>
  <cp:keywords/>
  <dc:description/>
  <cp:lastModifiedBy/>
  <cp:revision>1</cp:revision>
  <dcterms:created xsi:type="dcterms:W3CDTF">2018-10-17T05:55:00Z</dcterms:created>
</cp:coreProperties>
</file>