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F82" w:rsidRPr="006B344C" w:rsidRDefault="00310F82" w:rsidP="004B3025">
      <w:pPr>
        <w:pStyle w:val="2"/>
        <w:spacing w:beforeLines="0" w:before="0" w:afterLines="0" w:after="0" w:line="329" w:lineRule="auto"/>
      </w:pPr>
      <w:r w:rsidRPr="006B344C">
        <w:rPr>
          <w:rFonts w:hint="eastAsia"/>
        </w:rPr>
        <w:t>西</w:t>
      </w:r>
      <w:bookmarkStart w:id="0" w:name="_Toc486964397"/>
      <w:r w:rsidRPr="006B344C">
        <w:rPr>
          <w:rFonts w:hint="eastAsia"/>
        </w:rPr>
        <w:t>南财经大学学生“世界名校行”管理办法</w:t>
      </w:r>
    </w:p>
    <w:bookmarkEnd w:id="0"/>
    <w:p w:rsidR="00310F82" w:rsidRPr="006B344C" w:rsidRDefault="00310F82" w:rsidP="004B3025">
      <w:pPr>
        <w:pStyle w:val="6"/>
        <w:rPr>
          <w:rFonts w:ascii="Times New Roman" w:hAnsi="Times New Roman" w:cs="Times New Roman"/>
          <w:szCs w:val="24"/>
        </w:rPr>
      </w:pPr>
      <w:r w:rsidRPr="006B344C">
        <w:rPr>
          <w:rFonts w:ascii="Times New Roman" w:hAnsi="Times New Roman" w:cs="Times New Roman" w:hint="eastAsia"/>
          <w:szCs w:val="24"/>
        </w:rPr>
        <w:t>（西财大办〔</w:t>
      </w:r>
      <w:r w:rsidRPr="006B344C">
        <w:rPr>
          <w:rFonts w:ascii="Times New Roman" w:hAnsi="Times New Roman" w:cs="Times New Roman"/>
          <w:szCs w:val="24"/>
        </w:rPr>
        <w:t>2016</w:t>
      </w:r>
      <w:r w:rsidRPr="006B344C">
        <w:rPr>
          <w:rFonts w:ascii="Times New Roman" w:hAnsi="Times New Roman" w:cs="Times New Roman" w:hint="eastAsia"/>
          <w:szCs w:val="24"/>
        </w:rPr>
        <w:t>〕</w:t>
      </w:r>
      <w:r w:rsidRPr="006B344C">
        <w:rPr>
          <w:rFonts w:ascii="Times New Roman" w:hAnsi="Times New Roman" w:cs="Times New Roman"/>
          <w:szCs w:val="24"/>
        </w:rPr>
        <w:t>2</w:t>
      </w:r>
      <w:r w:rsidRPr="006B344C">
        <w:rPr>
          <w:rFonts w:ascii="Times New Roman" w:hAnsi="Times New Roman" w:cs="Times New Roman" w:hint="eastAsia"/>
          <w:szCs w:val="24"/>
        </w:rPr>
        <w:t>号）</w:t>
      </w:r>
    </w:p>
    <w:p w:rsidR="00310F82" w:rsidRPr="006B344C" w:rsidRDefault="00310F82" w:rsidP="004B3025">
      <w:pPr>
        <w:spacing w:line="329" w:lineRule="auto"/>
        <w:rPr>
          <w:rFonts w:ascii="Times New Roman" w:hAnsi="Times New Roman" w:cs="Times New Roman"/>
          <w:sz w:val="24"/>
          <w:szCs w:val="24"/>
        </w:rPr>
      </w:pPr>
    </w:p>
    <w:p w:rsidR="00310F82" w:rsidRPr="006B344C" w:rsidRDefault="00310F82" w:rsidP="004B3025">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为进一步推进我校国际化战略的实施，提高学生国际交流层次，促进实质性的国际交流合作，我校鼓励学生多形式、多渠道参加校际交流，开拓国际视野，促进学术发展，通过个人渠道赴世界名校交流学习。为规范管理西南财经大学学生通过个人渠道，参加国（境）外知名大学的交流学习，完善修读课程、成绩认定及学分转换的程序，特制定此《西南财经大学学生“世界名校行”管理办法》。</w:t>
      </w:r>
    </w:p>
    <w:p w:rsidR="00310F82" w:rsidRPr="006B344C" w:rsidRDefault="00310F82" w:rsidP="00261968">
      <w:pPr>
        <w:pStyle w:val="3"/>
        <w:rPr>
          <w:rFonts w:ascii="Times New Roman" w:hAnsi="Times New Roman"/>
        </w:rPr>
      </w:pPr>
      <w:r w:rsidRPr="006B344C">
        <w:rPr>
          <w:rFonts w:ascii="Times New Roman" w:hAnsi="Times New Roman" w:hint="eastAsia"/>
        </w:rPr>
        <w:t>第一章</w:t>
      </w:r>
      <w:r w:rsidRPr="006B344C">
        <w:rPr>
          <w:rFonts w:ascii="Times New Roman" w:hAnsi="Times New Roman"/>
        </w:rPr>
        <w:t xml:space="preserve">  </w:t>
      </w:r>
      <w:r w:rsidRPr="006B344C">
        <w:rPr>
          <w:rFonts w:ascii="Times New Roman" w:hAnsi="Times New Roman" w:hint="eastAsia"/>
        </w:rPr>
        <w:t>名校界定</w:t>
      </w:r>
    </w:p>
    <w:p w:rsidR="00310F82" w:rsidRPr="006B344C" w:rsidRDefault="00310F82" w:rsidP="00752766">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sz w:val="24"/>
          <w:szCs w:val="24"/>
        </w:rPr>
        <w:t>第一条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西南财经大学国际交流与合作处将根据</w:t>
      </w:r>
      <w:r w:rsidRPr="006B344C">
        <w:rPr>
          <w:rFonts w:ascii="Times New Roman" w:hAnsi="Times New Roman" w:cs="Times New Roman"/>
          <w:sz w:val="24"/>
          <w:szCs w:val="24"/>
        </w:rPr>
        <w:t>QS</w:t>
      </w:r>
      <w:r w:rsidRPr="006B344C">
        <w:rPr>
          <w:rFonts w:ascii="Times New Roman" w:hAnsi="Times New Roman" w:cs="Times New Roman" w:hint="eastAsia"/>
          <w:sz w:val="24"/>
          <w:szCs w:val="24"/>
        </w:rPr>
        <w:t>世界大学排名来划定世界名校范围，认可</w:t>
      </w:r>
      <w:r w:rsidRPr="006B344C">
        <w:rPr>
          <w:rFonts w:ascii="Times New Roman" w:hAnsi="Times New Roman" w:cs="Times New Roman"/>
          <w:sz w:val="24"/>
          <w:szCs w:val="24"/>
        </w:rPr>
        <w:t>QS</w:t>
      </w:r>
      <w:r w:rsidRPr="006B344C">
        <w:rPr>
          <w:rFonts w:ascii="Times New Roman" w:hAnsi="Times New Roman" w:cs="Times New Roman" w:hint="eastAsia"/>
          <w:sz w:val="24"/>
          <w:szCs w:val="24"/>
        </w:rPr>
        <w:t>排名前</w:t>
      </w:r>
      <w:r w:rsidRPr="006B344C">
        <w:rPr>
          <w:rFonts w:ascii="Times New Roman" w:hAnsi="Times New Roman" w:cs="Times New Roman"/>
          <w:sz w:val="24"/>
          <w:szCs w:val="24"/>
        </w:rPr>
        <w:t>100</w:t>
      </w:r>
      <w:r w:rsidRPr="006B344C">
        <w:rPr>
          <w:rFonts w:ascii="Times New Roman" w:hAnsi="Times New Roman" w:cs="Times New Roman" w:hint="eastAsia"/>
          <w:sz w:val="24"/>
          <w:szCs w:val="24"/>
        </w:rPr>
        <w:t>的学校为本管理办法适用的世界名校，名校范围根据每年</w:t>
      </w:r>
      <w:r w:rsidRPr="006B344C">
        <w:rPr>
          <w:rFonts w:ascii="Times New Roman" w:hAnsi="Times New Roman" w:cs="Times New Roman"/>
          <w:sz w:val="24"/>
          <w:szCs w:val="24"/>
        </w:rPr>
        <w:t>QS</w:t>
      </w:r>
      <w:r w:rsidRPr="006B344C">
        <w:rPr>
          <w:rFonts w:ascii="Times New Roman" w:hAnsi="Times New Roman" w:cs="Times New Roman" w:hint="eastAsia"/>
          <w:sz w:val="24"/>
          <w:szCs w:val="24"/>
        </w:rPr>
        <w:t>世界大学排名更新（附件一）。</w:t>
      </w:r>
    </w:p>
    <w:p w:rsidR="00310F82" w:rsidRPr="006B344C" w:rsidRDefault="00310F82" w:rsidP="00261968">
      <w:pPr>
        <w:pStyle w:val="3"/>
        <w:rPr>
          <w:rFonts w:ascii="Times New Roman" w:hAnsi="Times New Roman"/>
        </w:rPr>
      </w:pPr>
      <w:r w:rsidRPr="006B344C">
        <w:rPr>
          <w:rFonts w:ascii="Times New Roman" w:hAnsi="Times New Roman" w:hint="eastAsia"/>
        </w:rPr>
        <w:t>第二章</w:t>
      </w:r>
      <w:r w:rsidRPr="006B344C">
        <w:rPr>
          <w:rFonts w:ascii="Times New Roman" w:hAnsi="Times New Roman"/>
        </w:rPr>
        <w:t xml:space="preserve">  </w:t>
      </w:r>
      <w:r w:rsidRPr="006B344C">
        <w:rPr>
          <w:rFonts w:ascii="Times New Roman" w:hAnsi="Times New Roman" w:hint="eastAsia"/>
        </w:rPr>
        <w:t>基本原则</w:t>
      </w:r>
    </w:p>
    <w:p w:rsidR="00310F82" w:rsidRPr="006B344C" w:rsidRDefault="00310F82" w:rsidP="00752766">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第二条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申请学生须满足的基本条件：</w:t>
      </w:r>
    </w:p>
    <w:p w:rsidR="00310F82" w:rsidRPr="006B344C" w:rsidRDefault="00310F82" w:rsidP="004B3025">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（一）我校全日制在读本科生、硕士、博士研究生；</w:t>
      </w:r>
    </w:p>
    <w:p w:rsidR="00310F82" w:rsidRPr="006B344C" w:rsidRDefault="00310F82" w:rsidP="004B3025">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（二）诚实守信，道德品质优良，遵守学校各项规章制度，在校学习期间无违法违纪行为；</w:t>
      </w:r>
    </w:p>
    <w:p w:rsidR="00310F82" w:rsidRPr="006B344C" w:rsidRDefault="00310F82" w:rsidP="004B3025">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（三）在我校至少已就读一年；</w:t>
      </w:r>
    </w:p>
    <w:p w:rsidR="00310F82" w:rsidRPr="006B344C" w:rsidRDefault="00310F82" w:rsidP="00752766">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sz w:val="24"/>
          <w:szCs w:val="24"/>
        </w:rPr>
        <w:t>第三条</w:t>
      </w:r>
      <w:r w:rsidRPr="006B344C">
        <w:rPr>
          <w:rFonts w:ascii="Times New Roman" w:hAnsi="Times New Roman" w:cs="Times New Roman"/>
          <w:sz w:val="24"/>
          <w:szCs w:val="24"/>
        </w:rPr>
        <w:t xml:space="preserve">  </w:t>
      </w:r>
      <w:r w:rsidRPr="006B344C">
        <w:rPr>
          <w:rFonts w:ascii="Times New Roman" w:hAnsi="Times New Roman" w:cs="Times New Roman" w:hint="eastAsia"/>
          <w:kern w:val="0"/>
          <w:sz w:val="24"/>
          <w:szCs w:val="24"/>
        </w:rPr>
        <w:t>学生通过个人渠道交流学习的海外学校，在学生获得国（境）外学校接受交流学习通知书时，须为</w:t>
      </w:r>
      <w:r w:rsidRPr="006B344C">
        <w:rPr>
          <w:rFonts w:ascii="Times New Roman" w:hAnsi="Times New Roman" w:cs="Times New Roman"/>
          <w:kern w:val="0"/>
          <w:sz w:val="24"/>
          <w:szCs w:val="24"/>
        </w:rPr>
        <w:t>QS</w:t>
      </w:r>
      <w:r w:rsidRPr="006B344C">
        <w:rPr>
          <w:rFonts w:ascii="Times New Roman" w:hAnsi="Times New Roman" w:cs="Times New Roman" w:hint="eastAsia"/>
          <w:kern w:val="0"/>
          <w:sz w:val="24"/>
          <w:szCs w:val="24"/>
        </w:rPr>
        <w:t>排名前</w:t>
      </w:r>
      <w:r w:rsidRPr="006B344C">
        <w:rPr>
          <w:rFonts w:ascii="Times New Roman" w:hAnsi="Times New Roman" w:cs="Times New Roman"/>
          <w:kern w:val="0"/>
          <w:sz w:val="24"/>
          <w:szCs w:val="24"/>
        </w:rPr>
        <w:t>100</w:t>
      </w:r>
      <w:r w:rsidRPr="006B344C">
        <w:rPr>
          <w:rFonts w:ascii="Times New Roman" w:hAnsi="Times New Roman" w:cs="Times New Roman" w:hint="eastAsia"/>
          <w:kern w:val="0"/>
          <w:sz w:val="24"/>
          <w:szCs w:val="24"/>
        </w:rPr>
        <w:t>的学校。</w:t>
      </w:r>
    </w:p>
    <w:p w:rsidR="00310F82" w:rsidRPr="006B344C" w:rsidRDefault="00310F82" w:rsidP="00752766">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第四条</w:t>
      </w:r>
      <w:r w:rsidRPr="006B344C">
        <w:rPr>
          <w:rFonts w:ascii="Times New Roman" w:hAnsi="Times New Roman" w:cs="Times New Roman"/>
          <w:sz w:val="24"/>
          <w:szCs w:val="24"/>
        </w:rPr>
        <w:t xml:space="preserve">  </w:t>
      </w:r>
      <w:r w:rsidRPr="006B344C">
        <w:rPr>
          <w:rFonts w:ascii="Times New Roman" w:hAnsi="Times New Roman" w:cs="Times New Roman" w:hint="eastAsia"/>
          <w:kern w:val="0"/>
          <w:sz w:val="24"/>
          <w:szCs w:val="24"/>
        </w:rPr>
        <w:t>交流期间所修课程必须符合我校各院系</w:t>
      </w:r>
      <w:r w:rsidRPr="006B344C">
        <w:rPr>
          <w:rFonts w:ascii="Times New Roman" w:hAnsi="Times New Roman" w:cs="Times New Roman" w:hint="eastAsia"/>
          <w:sz w:val="24"/>
          <w:szCs w:val="24"/>
        </w:rPr>
        <w:t>教学</w:t>
      </w:r>
      <w:r w:rsidRPr="006B344C">
        <w:rPr>
          <w:rFonts w:ascii="Times New Roman" w:hAnsi="Times New Roman" w:cs="Times New Roman" w:hint="eastAsia"/>
          <w:kern w:val="0"/>
          <w:sz w:val="24"/>
          <w:szCs w:val="24"/>
        </w:rPr>
        <w:t>计划的培养要求，不允许转换专业。</w:t>
      </w:r>
    </w:p>
    <w:p w:rsidR="00310F82" w:rsidRPr="006B344C" w:rsidRDefault="00310F82" w:rsidP="00752766">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第五条</w:t>
      </w:r>
      <w:r w:rsidRPr="006B344C">
        <w:rPr>
          <w:rFonts w:ascii="Times New Roman" w:hAnsi="Times New Roman" w:cs="Times New Roman"/>
          <w:sz w:val="24"/>
          <w:szCs w:val="24"/>
        </w:rPr>
        <w:t xml:space="preserve">  </w:t>
      </w:r>
      <w:r w:rsidRPr="006B344C">
        <w:rPr>
          <w:rFonts w:ascii="Times New Roman" w:hAnsi="Times New Roman" w:cs="Times New Roman" w:hint="eastAsia"/>
          <w:kern w:val="0"/>
          <w:sz w:val="24"/>
          <w:szCs w:val="24"/>
        </w:rPr>
        <w:t>交流结束后须获得交流学校出具的官方成绩单。</w:t>
      </w:r>
    </w:p>
    <w:p w:rsidR="00310F82" w:rsidRPr="006B344C" w:rsidRDefault="00310F82" w:rsidP="00752766">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sz w:val="24"/>
          <w:szCs w:val="24"/>
        </w:rPr>
        <w:t>第六条</w:t>
      </w:r>
      <w:r w:rsidRPr="006B344C">
        <w:rPr>
          <w:rFonts w:ascii="Times New Roman" w:hAnsi="Times New Roman" w:cs="Times New Roman"/>
          <w:sz w:val="24"/>
          <w:szCs w:val="24"/>
        </w:rPr>
        <w:t xml:space="preserve">  </w:t>
      </w:r>
      <w:r w:rsidRPr="006B344C">
        <w:rPr>
          <w:rFonts w:ascii="Times New Roman" w:hAnsi="Times New Roman" w:cs="Times New Roman" w:hint="eastAsia"/>
          <w:kern w:val="0"/>
          <w:sz w:val="24"/>
          <w:szCs w:val="24"/>
        </w:rPr>
        <w:t>学分认定参照我校《西南财经大学本科生赴境外大学学习的课程认定及学分转换暂行管理办法》（附件二）中的具体学分转换规定。</w:t>
      </w:r>
    </w:p>
    <w:p w:rsidR="00310F82" w:rsidRPr="006B344C" w:rsidRDefault="00310F82" w:rsidP="00752766">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第七条</w:t>
      </w:r>
      <w:r w:rsidRPr="006B344C">
        <w:rPr>
          <w:rFonts w:ascii="Times New Roman" w:hAnsi="Times New Roman" w:cs="Times New Roman"/>
          <w:sz w:val="24"/>
          <w:szCs w:val="24"/>
        </w:rPr>
        <w:t xml:space="preserve">  </w:t>
      </w:r>
      <w:r w:rsidRPr="006B344C">
        <w:rPr>
          <w:rFonts w:ascii="Times New Roman" w:hAnsi="Times New Roman" w:cs="Times New Roman" w:hint="eastAsia"/>
          <w:kern w:val="0"/>
          <w:sz w:val="24"/>
          <w:szCs w:val="24"/>
        </w:rPr>
        <w:t>交流时间原则上不超过一年。</w:t>
      </w:r>
    </w:p>
    <w:p w:rsidR="00310F82" w:rsidRPr="006B344C" w:rsidRDefault="00310F82" w:rsidP="00261968">
      <w:pPr>
        <w:pStyle w:val="3"/>
        <w:rPr>
          <w:rFonts w:ascii="Times New Roman" w:hAnsi="Times New Roman"/>
        </w:rPr>
      </w:pPr>
      <w:r w:rsidRPr="006B344C">
        <w:rPr>
          <w:rFonts w:ascii="Times New Roman" w:hAnsi="Times New Roman" w:hint="eastAsia"/>
        </w:rPr>
        <w:t>第三章</w:t>
      </w:r>
      <w:r w:rsidRPr="006B344C">
        <w:rPr>
          <w:rFonts w:ascii="Times New Roman" w:hAnsi="Times New Roman"/>
        </w:rPr>
        <w:t xml:space="preserve">  </w:t>
      </w:r>
      <w:r w:rsidRPr="006B344C">
        <w:rPr>
          <w:rFonts w:ascii="Times New Roman" w:hAnsi="Times New Roman" w:hint="eastAsia"/>
        </w:rPr>
        <w:t>基本程序</w:t>
      </w:r>
    </w:p>
    <w:p w:rsidR="00310F82" w:rsidRPr="006B344C" w:rsidRDefault="00310F82" w:rsidP="00752766">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sz w:val="24"/>
          <w:szCs w:val="24"/>
        </w:rPr>
        <w:t>第八条</w:t>
      </w:r>
      <w:r w:rsidRPr="006B344C">
        <w:rPr>
          <w:rFonts w:ascii="Times New Roman" w:hAnsi="Times New Roman" w:cs="Times New Roman"/>
          <w:sz w:val="24"/>
          <w:szCs w:val="24"/>
        </w:rPr>
        <w:t xml:space="preserve">  </w:t>
      </w:r>
      <w:r w:rsidRPr="006B344C">
        <w:rPr>
          <w:rFonts w:ascii="Times New Roman" w:hAnsi="Times New Roman" w:cs="Times New Roman" w:hint="eastAsia"/>
          <w:kern w:val="0"/>
          <w:sz w:val="24"/>
          <w:szCs w:val="24"/>
        </w:rPr>
        <w:t>学生申请赴国（境）外学校学习之前，需完成以下程序：</w:t>
      </w:r>
    </w:p>
    <w:p w:rsidR="00310F82" w:rsidRPr="006B344C" w:rsidRDefault="00310F82"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（一）获得国（境）外学校接受交流学习证明，充分了解交流期间对方学校的课程设置，并对照我校教学计划，妥善规划安排自己的学习；</w:t>
      </w:r>
    </w:p>
    <w:p w:rsidR="00310F82" w:rsidRPr="006B344C" w:rsidRDefault="00310F82"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（二）书面提交《西南财经大学学生赴世界名校交流学习申请表》</w:t>
      </w:r>
      <w:r w:rsidRPr="006B344C">
        <w:rPr>
          <w:rFonts w:ascii="Times New Roman" w:hAnsi="Times New Roman" w:cs="Times New Roman"/>
          <w:kern w:val="0"/>
          <w:sz w:val="24"/>
          <w:szCs w:val="24"/>
        </w:rPr>
        <w:t>（</w:t>
      </w:r>
      <w:r w:rsidRPr="006B344C">
        <w:rPr>
          <w:rFonts w:ascii="Times New Roman" w:hAnsi="Times New Roman" w:cs="Times New Roman" w:hint="eastAsia"/>
          <w:kern w:val="0"/>
          <w:sz w:val="24"/>
          <w:szCs w:val="24"/>
        </w:rPr>
        <w:t>附件三</w:t>
      </w:r>
      <w:r w:rsidRPr="006B344C">
        <w:rPr>
          <w:rFonts w:ascii="Times New Roman" w:hAnsi="Times New Roman" w:cs="Times New Roman"/>
          <w:kern w:val="0"/>
          <w:sz w:val="24"/>
          <w:szCs w:val="24"/>
        </w:rPr>
        <w:t>）</w:t>
      </w:r>
      <w:r w:rsidRPr="006B344C">
        <w:rPr>
          <w:rFonts w:ascii="Times New Roman" w:hAnsi="Times New Roman" w:cs="Times New Roman" w:hint="eastAsia"/>
          <w:kern w:val="0"/>
          <w:sz w:val="24"/>
          <w:szCs w:val="24"/>
        </w:rPr>
        <w:t>及学习计划，报所在院系主管教学的院长</w:t>
      </w:r>
      <w:r w:rsidRPr="006B344C">
        <w:rPr>
          <w:rFonts w:ascii="Times New Roman" w:hAnsi="Times New Roman" w:cs="Times New Roman"/>
          <w:kern w:val="0"/>
          <w:sz w:val="24"/>
          <w:szCs w:val="24"/>
        </w:rPr>
        <w:t>/</w:t>
      </w:r>
      <w:r w:rsidRPr="006B344C">
        <w:rPr>
          <w:rFonts w:ascii="Times New Roman" w:hAnsi="Times New Roman" w:cs="Times New Roman" w:hint="eastAsia"/>
          <w:kern w:val="0"/>
          <w:sz w:val="24"/>
          <w:szCs w:val="24"/>
        </w:rPr>
        <w:t>系主任审核签章，并签署《出国（境）交流承诺书》</w:t>
      </w:r>
      <w:r w:rsidRPr="006B344C">
        <w:rPr>
          <w:rFonts w:ascii="Times New Roman" w:hAnsi="Times New Roman" w:cs="Times New Roman"/>
          <w:kern w:val="0"/>
          <w:sz w:val="24"/>
          <w:szCs w:val="24"/>
        </w:rPr>
        <w:t>（</w:t>
      </w:r>
      <w:r w:rsidRPr="006B344C">
        <w:rPr>
          <w:rFonts w:ascii="Times New Roman" w:hAnsi="Times New Roman" w:cs="Times New Roman" w:hint="eastAsia"/>
          <w:kern w:val="0"/>
          <w:sz w:val="24"/>
          <w:szCs w:val="24"/>
        </w:rPr>
        <w:t>附件四</w:t>
      </w:r>
      <w:r w:rsidRPr="006B344C">
        <w:rPr>
          <w:rFonts w:ascii="Times New Roman" w:hAnsi="Times New Roman" w:cs="Times New Roman"/>
          <w:kern w:val="0"/>
          <w:sz w:val="24"/>
          <w:szCs w:val="24"/>
        </w:rPr>
        <w:t>）</w:t>
      </w:r>
      <w:r w:rsidRPr="006B344C">
        <w:rPr>
          <w:rFonts w:ascii="Times New Roman" w:hAnsi="Times New Roman" w:cs="Times New Roman" w:hint="eastAsia"/>
          <w:kern w:val="0"/>
          <w:sz w:val="24"/>
          <w:szCs w:val="24"/>
        </w:rPr>
        <w:t>。</w:t>
      </w:r>
    </w:p>
    <w:p w:rsidR="00310F82" w:rsidRPr="006B344C" w:rsidRDefault="00310F82"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（三）所在学院审批同意后，学生需将《西南财经大学学生赴世界名校交流学习申请表》提交至国际交流与合作处审核备案，并在教务处、研究生院办理休学手续，方可出国（境）交流。</w:t>
      </w:r>
    </w:p>
    <w:p w:rsidR="00310F82" w:rsidRPr="006B344C" w:rsidRDefault="00310F82" w:rsidP="00752766">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b/>
          <w:sz w:val="24"/>
          <w:szCs w:val="24"/>
        </w:rPr>
        <w:t>第九条</w:t>
      </w:r>
      <w:r w:rsidRPr="006B344C">
        <w:rPr>
          <w:rFonts w:ascii="Times New Roman" w:hAnsi="Times New Roman" w:cs="Times New Roman"/>
          <w:sz w:val="24"/>
          <w:szCs w:val="24"/>
        </w:rPr>
        <w:t xml:space="preserve">  </w:t>
      </w:r>
      <w:r w:rsidRPr="006B344C">
        <w:rPr>
          <w:rFonts w:ascii="Times New Roman" w:hAnsi="Times New Roman" w:cs="Times New Roman" w:hint="eastAsia"/>
          <w:kern w:val="0"/>
          <w:sz w:val="24"/>
          <w:szCs w:val="24"/>
        </w:rPr>
        <w:t>学生交流学习期满返校后，须完成以下程序：</w:t>
      </w:r>
    </w:p>
    <w:p w:rsidR="00310F82" w:rsidRPr="006B344C" w:rsidRDefault="00310F82"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（一）填写《西南财经大学交流学习学生课程学分认定及成绩转换申请表》</w:t>
      </w:r>
      <w:r w:rsidRPr="006B344C">
        <w:rPr>
          <w:rFonts w:ascii="Times New Roman" w:hAnsi="Times New Roman" w:cs="Times New Roman"/>
          <w:kern w:val="0"/>
          <w:sz w:val="24"/>
          <w:szCs w:val="24"/>
        </w:rPr>
        <w:t>（</w:t>
      </w:r>
      <w:r w:rsidRPr="006B344C">
        <w:rPr>
          <w:rFonts w:ascii="Times New Roman" w:hAnsi="Times New Roman" w:cs="Times New Roman" w:hint="eastAsia"/>
          <w:kern w:val="0"/>
          <w:sz w:val="24"/>
          <w:szCs w:val="24"/>
        </w:rPr>
        <w:t>附件五</w:t>
      </w:r>
      <w:r w:rsidRPr="006B344C">
        <w:rPr>
          <w:rFonts w:ascii="Times New Roman" w:hAnsi="Times New Roman" w:cs="Times New Roman"/>
          <w:kern w:val="0"/>
          <w:sz w:val="24"/>
          <w:szCs w:val="24"/>
        </w:rPr>
        <w:t>）</w:t>
      </w:r>
      <w:r w:rsidRPr="006B344C">
        <w:rPr>
          <w:rFonts w:ascii="Times New Roman" w:hAnsi="Times New Roman" w:cs="Times New Roman" w:hint="eastAsia"/>
          <w:kern w:val="0"/>
          <w:sz w:val="24"/>
          <w:szCs w:val="24"/>
        </w:rPr>
        <w:t>，并附交流学校官方成绩单原件一份及复印件两份。</w:t>
      </w:r>
    </w:p>
    <w:p w:rsidR="00310F82" w:rsidRPr="006B344C" w:rsidRDefault="00310F82" w:rsidP="004B3025">
      <w:pPr>
        <w:widowControl/>
        <w:spacing w:line="329" w:lineRule="auto"/>
        <w:ind w:firstLineChars="200" w:firstLine="480"/>
        <w:rPr>
          <w:rFonts w:ascii="Times New Roman" w:hAnsi="Times New Roman" w:cs="Times New Roman"/>
          <w:kern w:val="0"/>
          <w:sz w:val="24"/>
          <w:szCs w:val="24"/>
        </w:rPr>
      </w:pPr>
      <w:r w:rsidRPr="006B344C">
        <w:rPr>
          <w:rFonts w:ascii="Times New Roman" w:hAnsi="Times New Roman" w:cs="Times New Roman" w:hint="eastAsia"/>
          <w:kern w:val="0"/>
          <w:sz w:val="24"/>
          <w:szCs w:val="24"/>
        </w:rPr>
        <w:t>（二）所在院系对可转换课程及学分进行审定，并在上述《学分认定及成绩转换申请表》中签署转换意见。</w:t>
      </w:r>
    </w:p>
    <w:p w:rsidR="00310F82" w:rsidRPr="006B344C" w:rsidRDefault="00310F82" w:rsidP="004B3025">
      <w:pPr>
        <w:widowControl/>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kern w:val="0"/>
          <w:sz w:val="24"/>
          <w:szCs w:val="24"/>
        </w:rPr>
        <w:t>（三）学生持学院签署的《学分认定及成绩转换申请表》前往国际交流与合作处、教务处、研究生院完成返校复学手续。</w:t>
      </w:r>
    </w:p>
    <w:p w:rsidR="00310F82" w:rsidRPr="006B344C" w:rsidRDefault="00310F82" w:rsidP="00261968">
      <w:pPr>
        <w:pStyle w:val="3"/>
        <w:rPr>
          <w:rFonts w:ascii="Times New Roman" w:hAnsi="Times New Roman"/>
        </w:rPr>
      </w:pPr>
      <w:r w:rsidRPr="006B344C">
        <w:rPr>
          <w:rFonts w:ascii="Times New Roman" w:hAnsi="Times New Roman" w:hint="eastAsia"/>
        </w:rPr>
        <w:t>第四章</w:t>
      </w:r>
      <w:r w:rsidRPr="006B344C">
        <w:rPr>
          <w:rFonts w:ascii="Times New Roman" w:hAnsi="Times New Roman"/>
        </w:rPr>
        <w:t xml:space="preserve">  </w:t>
      </w:r>
      <w:r w:rsidRPr="006B344C">
        <w:rPr>
          <w:rFonts w:ascii="Times New Roman" w:hAnsi="Times New Roman" w:hint="eastAsia"/>
        </w:rPr>
        <w:t>附则</w:t>
      </w:r>
    </w:p>
    <w:p w:rsidR="00310F82" w:rsidRPr="006B344C" w:rsidRDefault="00310F82" w:rsidP="00752766">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b/>
          <w:sz w:val="24"/>
          <w:szCs w:val="24"/>
        </w:rPr>
        <w:t>第十条</w:t>
      </w:r>
      <w:r w:rsidRPr="006B344C">
        <w:rPr>
          <w:rFonts w:ascii="Times New Roman" w:hAnsi="Times New Roman" w:cs="Times New Roman"/>
          <w:b/>
          <w:sz w:val="24"/>
          <w:szCs w:val="24"/>
        </w:rPr>
        <w:t xml:space="preserve">  </w:t>
      </w:r>
      <w:r w:rsidRPr="006B344C">
        <w:rPr>
          <w:rFonts w:ascii="Times New Roman" w:hAnsi="Times New Roman" w:cs="Times New Roman" w:hint="eastAsia"/>
          <w:kern w:val="0"/>
          <w:sz w:val="24"/>
          <w:szCs w:val="24"/>
        </w:rPr>
        <w:t>本办法自颁布之日起实施，由学校国际交流与合作处、教务处、研究生院负责解释。</w:t>
      </w:r>
    </w:p>
    <w:p w:rsidR="00310F82" w:rsidRPr="006B344C" w:rsidRDefault="00310F82" w:rsidP="004B3025">
      <w:pPr>
        <w:widowControl/>
        <w:spacing w:line="329" w:lineRule="auto"/>
        <w:ind w:firstLine="643"/>
        <w:rPr>
          <w:rFonts w:ascii="Times New Roman" w:hAnsi="Times New Roman" w:cs="Times New Roman"/>
          <w:kern w:val="0"/>
          <w:sz w:val="24"/>
          <w:szCs w:val="24"/>
        </w:rPr>
      </w:pPr>
    </w:p>
    <w:p w:rsidR="00310F82" w:rsidRPr="006B344C" w:rsidRDefault="00310F82" w:rsidP="004B3025">
      <w:pPr>
        <w:widowControl/>
        <w:spacing w:line="329" w:lineRule="auto"/>
        <w:ind w:firstLine="643"/>
        <w:rPr>
          <w:rFonts w:ascii="Times New Roman" w:hAnsi="Times New Roman" w:cs="Times New Roman"/>
          <w:kern w:val="0"/>
          <w:sz w:val="24"/>
          <w:szCs w:val="24"/>
        </w:rPr>
      </w:pPr>
    </w:p>
    <w:p w:rsidR="00310F82" w:rsidRPr="006B344C" w:rsidRDefault="00310F82" w:rsidP="004B3025">
      <w:pPr>
        <w:widowControl/>
        <w:spacing w:line="329" w:lineRule="auto"/>
        <w:ind w:firstLine="643"/>
        <w:rPr>
          <w:rFonts w:ascii="Times New Roman" w:hAnsi="Times New Roman" w:cs="Times New Roman"/>
          <w:sz w:val="24"/>
          <w:szCs w:val="24"/>
        </w:rPr>
      </w:pPr>
      <w:r w:rsidRPr="006B344C">
        <w:rPr>
          <w:rFonts w:ascii="Times New Roman" w:hAnsi="Times New Roman" w:cs="Times New Roman" w:hint="eastAsia"/>
          <w:sz w:val="24"/>
          <w:szCs w:val="24"/>
        </w:rPr>
        <w:t>附件</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2015-2016</w:t>
      </w:r>
      <w:r w:rsidRPr="006B344C">
        <w:rPr>
          <w:rFonts w:ascii="Times New Roman" w:hAnsi="Times New Roman" w:cs="Times New Roman" w:hint="eastAsia"/>
          <w:sz w:val="24"/>
          <w:szCs w:val="24"/>
        </w:rPr>
        <w:t>年</w:t>
      </w:r>
      <w:r w:rsidRPr="006B344C">
        <w:rPr>
          <w:rFonts w:ascii="Times New Roman" w:hAnsi="Times New Roman" w:cs="Times New Roman"/>
          <w:sz w:val="24"/>
          <w:szCs w:val="24"/>
        </w:rPr>
        <w:t>QS</w:t>
      </w:r>
      <w:r w:rsidRPr="006B344C">
        <w:rPr>
          <w:rFonts w:ascii="Times New Roman" w:hAnsi="Times New Roman" w:cs="Times New Roman" w:hint="eastAsia"/>
          <w:sz w:val="24"/>
          <w:szCs w:val="24"/>
        </w:rPr>
        <w:t>世界大学排名前</w:t>
      </w:r>
      <w:r w:rsidRPr="006B344C">
        <w:rPr>
          <w:rFonts w:ascii="Times New Roman" w:hAnsi="Times New Roman" w:cs="Times New Roman"/>
          <w:sz w:val="24"/>
          <w:szCs w:val="24"/>
        </w:rPr>
        <w:t>100</w:t>
      </w:r>
      <w:r w:rsidRPr="006B344C">
        <w:rPr>
          <w:rFonts w:ascii="Times New Roman" w:hAnsi="Times New Roman" w:cs="Times New Roman" w:hint="eastAsia"/>
          <w:sz w:val="24"/>
          <w:szCs w:val="24"/>
        </w:rPr>
        <w:t>强</w:t>
      </w:r>
    </w:p>
    <w:p w:rsidR="00310F82" w:rsidRPr="006B344C" w:rsidRDefault="00310F82" w:rsidP="004B3025">
      <w:pPr>
        <w:widowControl/>
        <w:spacing w:line="329" w:lineRule="auto"/>
        <w:ind w:firstLine="643"/>
        <w:rPr>
          <w:rFonts w:ascii="Times New Roman" w:hAnsi="Times New Roman" w:cs="Times New Roman"/>
          <w:sz w:val="24"/>
          <w:szCs w:val="24"/>
        </w:rPr>
      </w:pPr>
      <w:r w:rsidRPr="006B344C">
        <w:rPr>
          <w:rFonts w:ascii="Times New Roman" w:hAnsi="Times New Roman" w:cs="Times New Roman" w:hint="eastAsia"/>
          <w:sz w:val="24"/>
          <w:szCs w:val="24"/>
        </w:rPr>
        <w:t>附件</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：西南财经大学本科生赴境外大学学习的课程认定及学分转换暂行管理办法</w:t>
      </w:r>
    </w:p>
    <w:p w:rsidR="00310F82" w:rsidRPr="006B344C" w:rsidRDefault="00310F82" w:rsidP="004B3025">
      <w:pPr>
        <w:widowControl/>
        <w:spacing w:line="329" w:lineRule="auto"/>
        <w:ind w:firstLine="643"/>
        <w:rPr>
          <w:rFonts w:ascii="Times New Roman" w:hAnsi="Times New Roman" w:cs="Times New Roman"/>
          <w:sz w:val="24"/>
          <w:szCs w:val="24"/>
        </w:rPr>
      </w:pPr>
      <w:r w:rsidRPr="006B344C">
        <w:rPr>
          <w:rFonts w:ascii="Times New Roman" w:hAnsi="Times New Roman" w:cs="Times New Roman" w:hint="eastAsia"/>
          <w:sz w:val="24"/>
          <w:szCs w:val="24"/>
        </w:rPr>
        <w:t>附件</w:t>
      </w:r>
      <w:r w:rsidRPr="006B344C">
        <w:rPr>
          <w:rFonts w:ascii="Times New Roman" w:hAnsi="Times New Roman" w:cs="Times New Roman"/>
          <w:sz w:val="24"/>
          <w:szCs w:val="24"/>
        </w:rPr>
        <w:t>3</w:t>
      </w:r>
      <w:r w:rsidRPr="006B344C">
        <w:rPr>
          <w:rFonts w:ascii="Times New Roman" w:hAnsi="Times New Roman" w:cs="Times New Roman" w:hint="eastAsia"/>
          <w:sz w:val="24"/>
          <w:szCs w:val="24"/>
        </w:rPr>
        <w:t>：西南财经大学学生赴世界名校交流学习申请表</w:t>
      </w:r>
    </w:p>
    <w:p w:rsidR="00310F82" w:rsidRPr="006B344C" w:rsidRDefault="00310F82" w:rsidP="004B3025">
      <w:pPr>
        <w:widowControl/>
        <w:spacing w:line="329" w:lineRule="auto"/>
        <w:ind w:firstLine="643"/>
        <w:rPr>
          <w:rFonts w:ascii="Times New Roman" w:hAnsi="Times New Roman" w:cs="Times New Roman"/>
          <w:sz w:val="24"/>
          <w:szCs w:val="24"/>
        </w:rPr>
      </w:pPr>
      <w:r w:rsidRPr="006B344C">
        <w:rPr>
          <w:rFonts w:ascii="Times New Roman" w:hAnsi="Times New Roman" w:cs="Times New Roman" w:hint="eastAsia"/>
          <w:sz w:val="24"/>
          <w:szCs w:val="24"/>
        </w:rPr>
        <w:t>附件</w:t>
      </w:r>
      <w:r w:rsidRPr="006B344C">
        <w:rPr>
          <w:rFonts w:ascii="Times New Roman" w:hAnsi="Times New Roman" w:cs="Times New Roman"/>
          <w:sz w:val="24"/>
          <w:szCs w:val="24"/>
        </w:rPr>
        <w:t>4</w:t>
      </w:r>
      <w:r w:rsidRPr="006B344C">
        <w:rPr>
          <w:rFonts w:ascii="Times New Roman" w:hAnsi="Times New Roman" w:cs="Times New Roman" w:hint="eastAsia"/>
          <w:sz w:val="24"/>
          <w:szCs w:val="24"/>
        </w:rPr>
        <w:t>：学生世界名校行承诺书</w:t>
      </w:r>
      <w:r w:rsidRPr="006B344C">
        <w:rPr>
          <w:rFonts w:ascii="Times New Roman" w:hAnsi="Times New Roman" w:cs="Times New Roman" w:hint="eastAsia"/>
          <w:sz w:val="24"/>
          <w:szCs w:val="24"/>
        </w:rPr>
        <w:t> </w:t>
      </w:r>
    </w:p>
    <w:p w:rsidR="00310F82" w:rsidRPr="006B344C" w:rsidRDefault="00310F82" w:rsidP="004B3025">
      <w:pPr>
        <w:widowControl/>
        <w:spacing w:line="329" w:lineRule="auto"/>
        <w:ind w:firstLine="643"/>
        <w:rPr>
          <w:rFonts w:ascii="Times New Roman" w:hAnsi="Times New Roman" w:cs="Times New Roman"/>
          <w:sz w:val="24"/>
          <w:szCs w:val="24"/>
        </w:rPr>
      </w:pPr>
      <w:r w:rsidRPr="006B344C">
        <w:rPr>
          <w:rFonts w:ascii="Times New Roman" w:hAnsi="Times New Roman" w:cs="Times New Roman" w:hint="eastAsia"/>
          <w:sz w:val="24"/>
          <w:szCs w:val="24"/>
        </w:rPr>
        <w:t>附件</w:t>
      </w:r>
      <w:r w:rsidRPr="006B344C">
        <w:rPr>
          <w:rFonts w:ascii="Times New Roman" w:hAnsi="Times New Roman" w:cs="Times New Roman"/>
          <w:sz w:val="24"/>
          <w:szCs w:val="24"/>
        </w:rPr>
        <w:t>5</w:t>
      </w:r>
      <w:r w:rsidRPr="006B344C">
        <w:rPr>
          <w:rFonts w:ascii="Times New Roman" w:hAnsi="Times New Roman" w:cs="Times New Roman" w:hint="eastAsia"/>
          <w:sz w:val="24"/>
          <w:szCs w:val="24"/>
        </w:rPr>
        <w:t>：西南财经大学交流学习学生课程学分认定及成绩转换申请表</w:t>
      </w:r>
    </w:p>
    <w:p w:rsidR="00310F82" w:rsidRPr="006B344C" w:rsidRDefault="00310F82" w:rsidP="004B3025">
      <w:pPr>
        <w:widowControl/>
        <w:spacing w:line="329" w:lineRule="auto"/>
        <w:ind w:firstLine="643"/>
        <w:rPr>
          <w:rFonts w:ascii="Times New Roman" w:hAnsi="Times New Roman" w:cs="Times New Roman"/>
          <w:kern w:val="0"/>
          <w:sz w:val="24"/>
          <w:szCs w:val="24"/>
        </w:rPr>
      </w:pPr>
    </w:p>
    <w:p w:rsidR="00310F82" w:rsidRPr="006B344C" w:rsidRDefault="00310F82" w:rsidP="004B3025">
      <w:pPr>
        <w:spacing w:line="329" w:lineRule="auto"/>
        <w:jc w:val="left"/>
        <w:rPr>
          <w:rFonts w:ascii="Times New Roman" w:hAnsi="Times New Roman" w:cs="Times New Roman"/>
          <w:b/>
          <w:sz w:val="24"/>
          <w:szCs w:val="24"/>
        </w:rPr>
      </w:pPr>
      <w:r w:rsidRPr="006B344C">
        <w:rPr>
          <w:rFonts w:ascii="Times New Roman" w:hAnsi="Times New Roman" w:cs="Times New Roman"/>
          <w:b/>
          <w:sz w:val="24"/>
          <w:szCs w:val="24"/>
        </w:rPr>
        <w:br w:type="page"/>
      </w:r>
      <w:r w:rsidRPr="006B344C">
        <w:rPr>
          <w:rFonts w:ascii="Times New Roman" w:hAnsi="Times New Roman" w:cs="Times New Roman" w:hint="eastAsia"/>
          <w:b/>
          <w:sz w:val="24"/>
          <w:szCs w:val="24"/>
        </w:rPr>
        <w:t>附件</w:t>
      </w:r>
      <w:r w:rsidRPr="006B344C">
        <w:rPr>
          <w:rFonts w:ascii="Times New Roman" w:hAnsi="Times New Roman" w:cs="Times New Roman"/>
          <w:b/>
          <w:sz w:val="24"/>
          <w:szCs w:val="24"/>
        </w:rPr>
        <w:t>1</w:t>
      </w:r>
      <w:r w:rsidRPr="006B344C">
        <w:rPr>
          <w:rFonts w:ascii="Times New Roman" w:hAnsi="Times New Roman" w:cs="Times New Roman" w:hint="eastAsia"/>
          <w:b/>
          <w:sz w:val="24"/>
          <w:szCs w:val="24"/>
        </w:rPr>
        <w:t>：</w:t>
      </w:r>
      <w:r w:rsidRPr="006B344C">
        <w:rPr>
          <w:rFonts w:ascii="Times New Roman" w:hAnsi="Times New Roman" w:cs="Times New Roman"/>
          <w:b/>
          <w:sz w:val="24"/>
          <w:szCs w:val="24"/>
        </w:rPr>
        <w:t xml:space="preserve"> </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1F1F1"/>
        <w:tblLayout w:type="fixed"/>
        <w:tblCellMar>
          <w:left w:w="0" w:type="dxa"/>
          <w:right w:w="0" w:type="dxa"/>
        </w:tblCellMar>
        <w:tblLook w:val="0000" w:firstRow="0" w:lastRow="0" w:firstColumn="0" w:lastColumn="0" w:noHBand="0" w:noVBand="0"/>
      </w:tblPr>
      <w:tblGrid>
        <w:gridCol w:w="863"/>
        <w:gridCol w:w="3792"/>
        <w:gridCol w:w="1212"/>
        <w:gridCol w:w="1267"/>
        <w:gridCol w:w="1271"/>
      </w:tblGrid>
      <w:tr w:rsidR="00310F82" w:rsidRPr="006B344C" w:rsidTr="00AD3E1F">
        <w:trPr>
          <w:trHeight w:val="413"/>
          <w:tblCellSpacing w:w="0" w:type="dxa"/>
          <w:jc w:val="center"/>
        </w:trPr>
        <w:tc>
          <w:tcPr>
            <w:tcW w:w="8405" w:type="dxa"/>
            <w:gridSpan w:val="5"/>
            <w:tcBorders>
              <w:top w:val="outset" w:sz="6" w:space="0" w:color="auto"/>
              <w:left w:val="outset" w:sz="6" w:space="0" w:color="auto"/>
              <w:bottom w:val="outset" w:sz="6" w:space="0" w:color="auto"/>
              <w:right w:val="outset" w:sz="6" w:space="0" w:color="auto"/>
            </w:tcBorders>
            <w:shd w:val="clear" w:color="auto" w:fill="E0FFFF"/>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b/>
                <w:bCs/>
                <w:sz w:val="24"/>
                <w:szCs w:val="24"/>
              </w:rPr>
              <w:t>2015-2016</w:t>
            </w:r>
            <w:r w:rsidRPr="006B344C">
              <w:rPr>
                <w:rFonts w:ascii="Times New Roman" w:hAnsi="Times New Roman" w:cs="Times New Roman" w:hint="eastAsia"/>
                <w:b/>
                <w:bCs/>
                <w:sz w:val="24"/>
                <w:szCs w:val="24"/>
              </w:rPr>
              <w:t>年</w:t>
            </w:r>
            <w:r w:rsidRPr="006B344C">
              <w:rPr>
                <w:rFonts w:ascii="Times New Roman" w:hAnsi="Times New Roman" w:cs="Times New Roman"/>
                <w:b/>
                <w:bCs/>
                <w:sz w:val="24"/>
                <w:szCs w:val="24"/>
              </w:rPr>
              <w:t>QS</w:t>
            </w:r>
            <w:r w:rsidRPr="006B344C">
              <w:rPr>
                <w:rFonts w:ascii="Times New Roman" w:hAnsi="Times New Roman" w:cs="Times New Roman" w:hint="eastAsia"/>
                <w:b/>
                <w:bCs/>
                <w:sz w:val="24"/>
                <w:szCs w:val="24"/>
              </w:rPr>
              <w:t>世界大学排名前</w:t>
            </w:r>
            <w:r w:rsidRPr="006B344C">
              <w:rPr>
                <w:rFonts w:ascii="Times New Roman" w:hAnsi="Times New Roman" w:cs="Times New Roman"/>
                <w:b/>
                <w:bCs/>
                <w:sz w:val="24"/>
                <w:szCs w:val="24"/>
              </w:rPr>
              <w:t>100</w:t>
            </w:r>
            <w:r w:rsidRPr="006B344C">
              <w:rPr>
                <w:rFonts w:ascii="Times New Roman" w:hAnsi="Times New Roman" w:cs="Times New Roman" w:hint="eastAsia"/>
                <w:b/>
                <w:bCs/>
                <w:sz w:val="24"/>
                <w:szCs w:val="24"/>
              </w:rPr>
              <w:t>强</w:t>
            </w:r>
          </w:p>
        </w:tc>
      </w:tr>
      <w:tr w:rsidR="00310F82" w:rsidRPr="006B344C" w:rsidTr="00AD3E1F">
        <w:trPr>
          <w:trHeight w:val="56"/>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b/>
                <w:bCs/>
                <w:sz w:val="24"/>
                <w:szCs w:val="24"/>
              </w:rPr>
              <w:t>排名</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b/>
                <w:bCs/>
                <w:sz w:val="24"/>
                <w:szCs w:val="24"/>
              </w:rPr>
              <w:t>大学名称</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b/>
                <w:bCs/>
                <w:sz w:val="24"/>
                <w:szCs w:val="24"/>
              </w:rPr>
              <w:t>国家名称</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b/>
                <w:bCs/>
                <w:sz w:val="24"/>
                <w:szCs w:val="24"/>
              </w:rPr>
              <w:t>学术声誉</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b/>
                <w:bCs/>
                <w:sz w:val="24"/>
                <w:szCs w:val="24"/>
              </w:rPr>
              <w:t>雇主声誉</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麻省理工学院</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2</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哈佛大学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3</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剑桥大学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3</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斯坦福大学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加州理工学院</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99.8</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89.6</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牛津大学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伦敦大学学院</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99.8</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伦敦帝国学院</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瑞士联邦理工学院</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瑞士</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芝加哥大学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96.3</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11</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普林斯顿大学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98.5</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12</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新加坡国立大学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新加坡</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13</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南洋理工大学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新加坡</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95.3</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97.5</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14</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洛桑联邦理工学院</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瑞士</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89.1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93.6</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15</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耶鲁大学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16</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约翰</w:t>
            </w:r>
            <w:r w:rsidRPr="006B344C">
              <w:rPr>
                <w:rFonts w:ascii="Times New Roman" w:hAnsi="Times New Roman" w:cs="Times New Roman"/>
                <w:sz w:val="24"/>
                <w:szCs w:val="24"/>
              </w:rPr>
              <w:t>·</w:t>
            </w:r>
            <w:r w:rsidRPr="006B344C">
              <w:rPr>
                <w:rFonts w:ascii="Times New Roman" w:hAnsi="Times New Roman" w:cs="Times New Roman"/>
                <w:sz w:val="24"/>
                <w:szCs w:val="24"/>
              </w:rPr>
              <w:t>霍普金斯大学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97.2</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74</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17</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康奈尔大学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96.7</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18</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宾夕法尼亚大学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98.8</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97.4</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19</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伦敦国王学院</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95.2</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95.9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19</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澳大利亚国立大学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澳大利亚</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99.6</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94.4</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21</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爱丁堡大学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99.7</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98</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22</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哥伦比亚大学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99.4</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23</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巴黎高等师范学校</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法国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89.6</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78.9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24</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麦吉尔大学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加拿大</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94.7</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25</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清华大学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中国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99.6</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99.5</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26</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加州大学伯克利分校</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27</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加州大学洛杉矶分校</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99.7</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28</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香港科技大学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中国香港</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94.3</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91.8</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29</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杜克大学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96.4</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84.6</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30</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香港大学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中国香港</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99.5</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97.4</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30</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密歇根大学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91.4</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32</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西北大学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94</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81.1</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33</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曼彻斯特大学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99.3</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34</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多伦多大学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加拿大</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95.6</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35</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伦敦政治经济学院</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93.8</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36</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首尔大学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南韩</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99.2</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96.6</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37</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布里斯托大学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92.1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98.2</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38</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京都大学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日本</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96.6</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39</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东京大学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日本</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40</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巴黎综合理工大学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法国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73.5</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99.6</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41</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北京大学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中国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99.8</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42</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墨尔本大学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澳大利亚</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99.8</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99.8</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43</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韩国科学技术学院</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南韩</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89.4</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86.6</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44</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加利福尼亚大学圣地亚哥分校</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98</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71.3</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45</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悉尼大学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澳大利亚</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99.5</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99.4</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46</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新南威尔士大学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澳大利亚</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96.9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99.6</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46</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昆士兰大学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澳大利亚</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95.6</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91.3</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48</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华威大学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90.4</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99.7</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49</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布朗大学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81.9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71.2</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50</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英属哥伦比亚大学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加拿大</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99.6</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95.8</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51</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香港中文大学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中国香港</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95.4</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85.6</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51</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复旦大学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中国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94.1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96.9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53</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纽约大学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98.8</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97.8</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54</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威斯康星大学麦迪逊分校</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97.4</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62.1</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55</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阿姆斯特丹大学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荷兰</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95.1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88.1</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56</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东京工业大学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日本</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86.2</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84.5</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57</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香港城市大学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中国香港</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72.7</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50.7</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58</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大阪大学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日本</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92.5</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80.9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59</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伊利诺伊大学香槟分校</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97.7</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75.8</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60</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弗莱贝格工业大学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德国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90.4</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98.3</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61</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杜伦大学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75.4</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98.4</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62</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卡内基梅隆大学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88.1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83.9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62</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格拉斯哥大学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87.5</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68.3</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64</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代尔夫特理工大学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荷兰</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83.9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89.4</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65</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华盛顿大学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95.5</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55.8</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66</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海德堡大学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德国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95.5</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80.5</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67</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莫纳什大学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澳大利亚</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94.5</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96.9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68</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圣安德鲁斯大学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65.9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68.2</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69</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哥本哈根大学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丹麦</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89.1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77.7</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70</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诺丁汉大学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80.6</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96.7</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70</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隆德大学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瑞典</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89.3</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84.2</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70</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国立台湾大学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中国台湾</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98</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75</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70</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上海交通大学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中国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88.8</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95.9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74</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日本东北大学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日本</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86</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72.1</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75</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慕尼黑大学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德国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98.1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91.6</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76</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伯明翰大学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82.4</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94.9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77</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德克萨斯州大学奥斯汀分校</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98.5</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85.8</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78</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都柏林三一学院</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爱尔兰</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82.5</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73.8</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79</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北卡罗来纳州大学教堂山分校</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84.1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45.7</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80</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谢菲尔德大学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79.7</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81</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南安普顿大学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72.9</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64</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82</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奥克兰大学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新西兰</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92.7</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93.6</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82</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荷语鲁汶天主教大学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比利时</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92.4</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76.4</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84</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佐治亚理工学院</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81.8</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78.2</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85</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苏黎世大学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瑞士</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78.1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72.7</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85</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加州大学戴维斯分校</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85.8</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62</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87</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利兹大学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英国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81.7</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90.7</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87</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浦项科技大学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南韩</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56.1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64.9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89</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瑞士日内瓦大学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瑞士</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69.8</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 </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89</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普渡大学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77.2</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91</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波士顿大学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78.5</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85.6</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92</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瑞典皇家理工学院</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瑞典</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64.1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88</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93</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卡尔斯鲁厄理工学院</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德国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64</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96.2</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94</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乌得勒支大学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荷兰</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83.7</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69</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95</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莱顿大学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荷兰</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87.1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55.2</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96</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阿尔伯塔大学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加拿大</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79.5</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68.7</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96</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赫尔辛基大学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芬兰</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83.7</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64.7</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98</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西澳大学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澳大利亚</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79.3</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70.3</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99</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俄亥俄州立大学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美国</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82</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57.4</w:t>
            </w:r>
          </w:p>
        </w:tc>
      </w:tr>
      <w:tr w:rsidR="00310F82" w:rsidRPr="006B344C" w:rsidTr="00AD3E1F">
        <w:trPr>
          <w:trHeight w:val="204"/>
          <w:tblCellSpacing w:w="0" w:type="dxa"/>
          <w:jc w:val="center"/>
        </w:trPr>
        <w:tc>
          <w:tcPr>
            <w:tcW w:w="863"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100</w:t>
            </w:r>
          </w:p>
        </w:tc>
        <w:tc>
          <w:tcPr>
            <w:tcW w:w="379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格罗宁根大学</w:t>
            </w:r>
          </w:p>
        </w:tc>
        <w:tc>
          <w:tcPr>
            <w:tcW w:w="1212"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荷兰</w:t>
            </w:r>
          </w:p>
        </w:tc>
        <w:tc>
          <w:tcPr>
            <w:tcW w:w="1267"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69.1</w:t>
            </w:r>
          </w:p>
        </w:tc>
        <w:tc>
          <w:tcPr>
            <w:tcW w:w="1268" w:type="dxa"/>
            <w:tcBorders>
              <w:top w:val="outset" w:sz="6" w:space="0" w:color="auto"/>
              <w:left w:val="outset" w:sz="6" w:space="0" w:color="auto"/>
              <w:bottom w:val="outset" w:sz="6" w:space="0" w:color="auto"/>
              <w:right w:val="outset" w:sz="6" w:space="0" w:color="auto"/>
            </w:tcBorders>
            <w:shd w:val="clear" w:color="auto" w:fill="F1F1F1"/>
            <w:vAlign w:val="center"/>
          </w:tcPr>
          <w:p w:rsidR="00310F82" w:rsidRPr="006B344C" w:rsidRDefault="00310F82" w:rsidP="004B3025">
            <w:pPr>
              <w:spacing w:line="329" w:lineRule="auto"/>
              <w:jc w:val="center"/>
              <w:rPr>
                <w:rFonts w:ascii="Times New Roman" w:hAnsi="Times New Roman" w:cs="Times New Roman"/>
                <w:sz w:val="24"/>
                <w:szCs w:val="24"/>
              </w:rPr>
            </w:pPr>
            <w:r w:rsidRPr="006B344C">
              <w:rPr>
                <w:rFonts w:ascii="Times New Roman" w:hAnsi="Times New Roman" w:cs="Times New Roman"/>
                <w:sz w:val="24"/>
                <w:szCs w:val="24"/>
              </w:rPr>
              <w:t>58.5</w:t>
            </w:r>
          </w:p>
        </w:tc>
      </w:tr>
    </w:tbl>
    <w:p w:rsidR="00310F82" w:rsidRPr="006B344C" w:rsidRDefault="00310F82" w:rsidP="004B3025">
      <w:pPr>
        <w:spacing w:line="329" w:lineRule="auto"/>
        <w:jc w:val="left"/>
        <w:rPr>
          <w:rFonts w:ascii="Times New Roman" w:hAnsi="Times New Roman" w:cs="Times New Roman"/>
          <w:b/>
          <w:sz w:val="24"/>
          <w:szCs w:val="24"/>
        </w:rPr>
      </w:pPr>
    </w:p>
    <w:p w:rsidR="00310F82" w:rsidRPr="006B344C" w:rsidRDefault="00310F82" w:rsidP="004B3025">
      <w:pPr>
        <w:spacing w:line="329" w:lineRule="auto"/>
        <w:jc w:val="left"/>
        <w:rPr>
          <w:rFonts w:ascii="Times New Roman" w:hAnsi="Times New Roman" w:cs="Times New Roman"/>
          <w:b/>
          <w:sz w:val="24"/>
          <w:szCs w:val="24"/>
        </w:rPr>
      </w:pPr>
      <w:r w:rsidRPr="006B344C">
        <w:rPr>
          <w:rFonts w:ascii="Times New Roman" w:hAnsi="Times New Roman" w:cs="Times New Roman"/>
          <w:b/>
          <w:sz w:val="24"/>
          <w:szCs w:val="24"/>
        </w:rPr>
        <w:br w:type="page"/>
      </w:r>
      <w:r w:rsidRPr="006B344C">
        <w:rPr>
          <w:rFonts w:ascii="Times New Roman" w:hAnsi="Times New Roman" w:cs="Times New Roman" w:hint="eastAsia"/>
          <w:b/>
          <w:sz w:val="24"/>
          <w:szCs w:val="24"/>
        </w:rPr>
        <w:t>附件</w:t>
      </w:r>
      <w:r w:rsidRPr="006B344C">
        <w:rPr>
          <w:rFonts w:ascii="Times New Roman" w:hAnsi="Times New Roman" w:cs="Times New Roman"/>
          <w:b/>
          <w:sz w:val="24"/>
          <w:szCs w:val="24"/>
        </w:rPr>
        <w:t>2</w:t>
      </w:r>
      <w:r w:rsidRPr="006B344C">
        <w:rPr>
          <w:rFonts w:ascii="Times New Roman" w:hAnsi="Times New Roman" w:cs="Times New Roman" w:hint="eastAsia"/>
          <w:b/>
          <w:sz w:val="24"/>
          <w:szCs w:val="24"/>
        </w:rPr>
        <w:t>：</w:t>
      </w:r>
    </w:p>
    <w:p w:rsidR="00310F82" w:rsidRPr="006B344C" w:rsidRDefault="00310F82" w:rsidP="004B3025">
      <w:pPr>
        <w:spacing w:line="329" w:lineRule="auto"/>
        <w:jc w:val="left"/>
        <w:rPr>
          <w:rFonts w:ascii="Times New Roman" w:hAnsi="Times New Roman" w:cs="Times New Roman"/>
          <w:b/>
          <w:sz w:val="24"/>
          <w:szCs w:val="24"/>
        </w:rPr>
      </w:pPr>
      <w:r w:rsidRPr="006B344C">
        <w:rPr>
          <w:rFonts w:ascii="Times New Roman" w:hAnsi="Times New Roman" w:cs="Times New Roman"/>
          <w:b/>
          <w:sz w:val="24"/>
          <w:szCs w:val="24"/>
        </w:rPr>
        <w:t xml:space="preserve"> </w:t>
      </w:r>
    </w:p>
    <w:p w:rsidR="00310F82" w:rsidRPr="006B344C" w:rsidRDefault="00310F82" w:rsidP="004B3025">
      <w:pPr>
        <w:spacing w:line="329" w:lineRule="auto"/>
        <w:ind w:rightChars="-24" w:right="-50"/>
        <w:jc w:val="center"/>
        <w:rPr>
          <w:rFonts w:ascii="Times New Roman" w:hAnsi="Times New Roman" w:cs="Times New Roman"/>
          <w:b/>
          <w:bCs/>
          <w:sz w:val="24"/>
          <w:szCs w:val="24"/>
        </w:rPr>
      </w:pPr>
      <w:r w:rsidRPr="006B344C">
        <w:rPr>
          <w:rFonts w:ascii="Times New Roman" w:hAnsi="Times New Roman" w:cs="Times New Roman" w:hint="eastAsia"/>
          <w:b/>
          <w:bCs/>
          <w:sz w:val="24"/>
          <w:szCs w:val="24"/>
        </w:rPr>
        <w:t>西南财经大学本科生赴境外大学学习的课程认定</w:t>
      </w:r>
    </w:p>
    <w:p w:rsidR="00310F82" w:rsidRPr="006B344C" w:rsidRDefault="00310F82" w:rsidP="004B3025">
      <w:pPr>
        <w:spacing w:line="329" w:lineRule="auto"/>
        <w:ind w:rightChars="-24" w:right="-50"/>
        <w:jc w:val="center"/>
        <w:rPr>
          <w:rFonts w:ascii="Times New Roman" w:hAnsi="Times New Roman" w:cs="Times New Roman"/>
          <w:b/>
          <w:bCs/>
          <w:sz w:val="24"/>
          <w:szCs w:val="24"/>
        </w:rPr>
      </w:pPr>
      <w:r w:rsidRPr="006B344C">
        <w:rPr>
          <w:rFonts w:ascii="Times New Roman" w:hAnsi="Times New Roman" w:cs="Times New Roman" w:hint="eastAsia"/>
          <w:b/>
          <w:bCs/>
          <w:sz w:val="24"/>
          <w:szCs w:val="24"/>
        </w:rPr>
        <w:t>及学分转换暂行管理办法</w:t>
      </w:r>
    </w:p>
    <w:p w:rsidR="00310F82" w:rsidRPr="006B344C" w:rsidRDefault="00310F82" w:rsidP="004B3025">
      <w:pPr>
        <w:spacing w:line="329" w:lineRule="auto"/>
        <w:ind w:leftChars="200" w:left="420" w:rightChars="200" w:right="420"/>
        <w:rPr>
          <w:rFonts w:ascii="Times New Roman" w:hAnsi="Times New Roman" w:cs="Times New Roman"/>
          <w:sz w:val="24"/>
          <w:szCs w:val="24"/>
        </w:rPr>
      </w:pP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为规范我校本科学生赴境外大学修读课程的成绩及学分管理，特制定本办法。</w:t>
      </w:r>
    </w:p>
    <w:p w:rsidR="00310F82" w:rsidRPr="006B344C" w:rsidRDefault="00310F82" w:rsidP="00A65DF2">
      <w:pPr>
        <w:pStyle w:val="4"/>
        <w:ind w:firstLine="480"/>
        <w:rPr>
          <w:rFonts w:ascii="Times New Roman" w:hAnsi="Times New Roman" w:cs="Times New Roman"/>
        </w:rPr>
      </w:pPr>
      <w:r w:rsidRPr="006B344C">
        <w:rPr>
          <w:rFonts w:ascii="Times New Roman" w:hAnsi="Times New Roman" w:cs="Times New Roman" w:hint="eastAsia"/>
        </w:rPr>
        <w:t>一、课程认定和学分转换的基本原则</w:t>
      </w:r>
    </w:p>
    <w:p w:rsidR="00310F82" w:rsidRPr="006B344C" w:rsidRDefault="00310F82" w:rsidP="004B3025">
      <w:pPr>
        <w:spacing w:line="329" w:lineRule="auto"/>
        <w:ind w:firstLine="480"/>
        <w:jc w:val="left"/>
        <w:rPr>
          <w:rFonts w:ascii="Times New Roman" w:hAnsi="Times New Roman" w:cs="Times New Roman"/>
          <w:sz w:val="24"/>
          <w:szCs w:val="24"/>
        </w:rPr>
      </w:pPr>
      <w:r w:rsidRPr="006B344C">
        <w:rPr>
          <w:rFonts w:ascii="Times New Roman" w:hAnsi="Times New Roman" w:cs="Times New Roman"/>
          <w:sz w:val="24"/>
          <w:szCs w:val="24"/>
        </w:rPr>
        <w:t>（一）</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学生在与学校签订有交换生项目的国外高校学习的相关课程，或在国外学校修读学术声誉（课程水平）、学术地位与西南财经大学相当的某学科（专业）的课程，可由我校认定相应学分。</w:t>
      </w:r>
    </w:p>
    <w:p w:rsidR="00310F82" w:rsidRPr="006B344C" w:rsidRDefault="00310F82" w:rsidP="004B3025">
      <w:pPr>
        <w:spacing w:line="329" w:lineRule="auto"/>
        <w:ind w:firstLine="480"/>
        <w:jc w:val="left"/>
        <w:rPr>
          <w:rFonts w:ascii="Times New Roman" w:hAnsi="Times New Roman" w:cs="Times New Roman"/>
          <w:sz w:val="24"/>
          <w:szCs w:val="24"/>
        </w:rPr>
      </w:pPr>
      <w:r w:rsidRPr="006B344C">
        <w:rPr>
          <w:rFonts w:ascii="Times New Roman" w:hAnsi="Times New Roman" w:cs="Times New Roman"/>
          <w:sz w:val="24"/>
          <w:szCs w:val="24"/>
        </w:rPr>
        <w:t>（二）</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相关国外高校课程应符合我校各学院教学计划对学生的基本要求，在学生派出前，由所在学院明确规定具体选修课程范围，并报教务处审核备案。</w:t>
      </w:r>
    </w:p>
    <w:p w:rsidR="00310F82" w:rsidRPr="006B344C" w:rsidRDefault="00310F82" w:rsidP="004B3025">
      <w:pPr>
        <w:spacing w:line="329" w:lineRule="auto"/>
        <w:ind w:firstLine="480"/>
        <w:jc w:val="left"/>
        <w:rPr>
          <w:rFonts w:ascii="Times New Roman" w:hAnsi="Times New Roman" w:cs="Times New Roman"/>
          <w:sz w:val="24"/>
          <w:szCs w:val="24"/>
        </w:rPr>
      </w:pPr>
      <w:r w:rsidRPr="006B344C">
        <w:rPr>
          <w:rFonts w:ascii="Times New Roman" w:hAnsi="Times New Roman" w:cs="Times New Roman"/>
          <w:sz w:val="24"/>
          <w:szCs w:val="24"/>
        </w:rPr>
        <w:t>（三）</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学生在国外大学修读课程获得的学分原则上按照</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的比例认定，即学生在国外大学修读</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学分课程对应认定为我校</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学分课程。</w:t>
      </w:r>
    </w:p>
    <w:p w:rsidR="00310F82" w:rsidRPr="006B344C" w:rsidRDefault="00310F82" w:rsidP="00A65DF2">
      <w:pPr>
        <w:pStyle w:val="4"/>
        <w:ind w:firstLine="480"/>
        <w:rPr>
          <w:rFonts w:ascii="Times New Roman" w:hAnsi="Times New Roman" w:cs="Times New Roman"/>
        </w:rPr>
      </w:pPr>
      <w:r w:rsidRPr="006B344C">
        <w:rPr>
          <w:rFonts w:ascii="Times New Roman" w:hAnsi="Times New Roman" w:cs="Times New Roman" w:hint="eastAsia"/>
        </w:rPr>
        <w:t>二、课程</w:t>
      </w:r>
      <w:r w:rsidRPr="006B344C">
        <w:rPr>
          <w:rStyle w:val="40"/>
          <w:rFonts w:ascii="Times New Roman" w:eastAsiaTheme="minorEastAsia" w:hAnsi="Times New Roman" w:cs="Times New Roman" w:hint="eastAsia"/>
        </w:rPr>
        <w:t>认</w:t>
      </w:r>
      <w:r w:rsidRPr="006B344C">
        <w:rPr>
          <w:rFonts w:ascii="Times New Roman" w:hAnsi="Times New Roman" w:cs="Times New Roman" w:hint="eastAsia"/>
        </w:rPr>
        <w:t>定和学分转换的范围</w:t>
      </w:r>
    </w:p>
    <w:p w:rsidR="00310F82" w:rsidRPr="006B344C" w:rsidRDefault="00310F82" w:rsidP="004B3025">
      <w:pPr>
        <w:spacing w:line="329" w:lineRule="auto"/>
        <w:ind w:firstLine="480"/>
        <w:jc w:val="left"/>
        <w:rPr>
          <w:rFonts w:ascii="Times New Roman" w:hAnsi="Times New Roman" w:cs="Times New Roman"/>
          <w:sz w:val="24"/>
          <w:szCs w:val="24"/>
        </w:rPr>
      </w:pPr>
      <w:r w:rsidRPr="006B344C">
        <w:rPr>
          <w:rFonts w:ascii="Times New Roman" w:hAnsi="Times New Roman" w:cs="Times New Roman"/>
          <w:sz w:val="24"/>
          <w:szCs w:val="24"/>
        </w:rPr>
        <w:t>（一）</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国家公派、校际交换、经外事处与教务处备案的学院交流项目学生所修课程及学分按照交换协议予以承认和转换。</w:t>
      </w:r>
    </w:p>
    <w:p w:rsidR="00310F82" w:rsidRPr="006B344C" w:rsidRDefault="00310F82" w:rsidP="004B3025">
      <w:pPr>
        <w:spacing w:line="329" w:lineRule="auto"/>
        <w:ind w:firstLine="480"/>
        <w:jc w:val="left"/>
        <w:rPr>
          <w:rFonts w:ascii="Times New Roman" w:hAnsi="Times New Roman" w:cs="Times New Roman"/>
          <w:sz w:val="24"/>
          <w:szCs w:val="24"/>
        </w:rPr>
      </w:pPr>
      <w:r w:rsidRPr="006B344C">
        <w:rPr>
          <w:rFonts w:ascii="Times New Roman" w:hAnsi="Times New Roman" w:cs="Times New Roman"/>
          <w:sz w:val="24"/>
          <w:szCs w:val="24"/>
        </w:rPr>
        <w:t>（二）</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经学院及教务处批准，学生自行联系赴境外参加的学生交流项目（含暑期学校），经学生本人提出转换学分申请，由学院认定、教务处批复，可根据具体情况进行相应处理（课程性质原则上只能认定为自由选修课）。</w:t>
      </w:r>
    </w:p>
    <w:p w:rsidR="00310F82" w:rsidRPr="006B344C" w:rsidRDefault="00310F82" w:rsidP="004B3025">
      <w:pPr>
        <w:spacing w:line="329" w:lineRule="auto"/>
        <w:ind w:firstLine="480"/>
        <w:jc w:val="left"/>
        <w:rPr>
          <w:rFonts w:ascii="Times New Roman" w:hAnsi="Times New Roman" w:cs="Times New Roman"/>
          <w:sz w:val="24"/>
          <w:szCs w:val="24"/>
        </w:rPr>
      </w:pPr>
      <w:r w:rsidRPr="006B344C">
        <w:rPr>
          <w:rFonts w:ascii="Times New Roman" w:hAnsi="Times New Roman" w:cs="Times New Roman"/>
          <w:sz w:val="24"/>
          <w:szCs w:val="24"/>
        </w:rPr>
        <w:t>（三）</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以自费出国留学形式赴境外大学学习、实习的学生，可申请保留学籍两年，保留学籍期间学生所修学分我校不予认定。</w:t>
      </w:r>
    </w:p>
    <w:p w:rsidR="00310F82" w:rsidRPr="006B344C" w:rsidRDefault="00310F82" w:rsidP="00A65DF2">
      <w:pPr>
        <w:pStyle w:val="4"/>
        <w:ind w:firstLine="480"/>
        <w:rPr>
          <w:rFonts w:ascii="Times New Roman" w:hAnsi="Times New Roman" w:cs="Times New Roman"/>
        </w:rPr>
      </w:pPr>
      <w:r w:rsidRPr="006B344C">
        <w:rPr>
          <w:rFonts w:ascii="Times New Roman" w:hAnsi="Times New Roman" w:cs="Times New Roman" w:hint="eastAsia"/>
        </w:rPr>
        <w:t>三、课程成绩评定和学分</w:t>
      </w:r>
      <w:r w:rsidRPr="006B344C">
        <w:rPr>
          <w:rFonts w:ascii="Times New Roman" w:hAnsi="Times New Roman" w:cs="Times New Roman"/>
        </w:rPr>
        <w:t>/</w:t>
      </w:r>
      <w:r w:rsidRPr="006B344C">
        <w:rPr>
          <w:rFonts w:ascii="Times New Roman" w:hAnsi="Times New Roman" w:cs="Times New Roman" w:hint="eastAsia"/>
        </w:rPr>
        <w:t>学时数转换的具体操作方法</w:t>
      </w:r>
    </w:p>
    <w:p w:rsidR="00310F82" w:rsidRPr="006B344C" w:rsidRDefault="00310F82" w:rsidP="004B3025">
      <w:pPr>
        <w:spacing w:line="329" w:lineRule="auto"/>
        <w:ind w:firstLineChars="200" w:firstLine="464"/>
        <w:jc w:val="left"/>
        <w:rPr>
          <w:rFonts w:ascii="Times New Roman" w:hAnsi="Times New Roman" w:cs="Times New Roman"/>
          <w:spacing w:val="-4"/>
          <w:sz w:val="24"/>
          <w:szCs w:val="24"/>
        </w:rPr>
      </w:pPr>
      <w:r w:rsidRPr="006B344C">
        <w:rPr>
          <w:rFonts w:ascii="Times New Roman" w:hAnsi="Times New Roman" w:cs="Times New Roman"/>
          <w:spacing w:val="-4"/>
          <w:sz w:val="24"/>
          <w:szCs w:val="24"/>
        </w:rPr>
        <w:t>（</w:t>
      </w:r>
      <w:r w:rsidRPr="006B344C">
        <w:rPr>
          <w:rFonts w:ascii="Times New Roman" w:hAnsi="Times New Roman" w:cs="Times New Roman" w:hint="eastAsia"/>
          <w:spacing w:val="-4"/>
          <w:sz w:val="24"/>
          <w:szCs w:val="24"/>
        </w:rPr>
        <w:t>一</w:t>
      </w:r>
      <w:r w:rsidRPr="006B344C">
        <w:rPr>
          <w:rFonts w:ascii="Times New Roman" w:hAnsi="Times New Roman" w:cs="Times New Roman"/>
          <w:spacing w:val="-4"/>
          <w:sz w:val="24"/>
          <w:szCs w:val="24"/>
        </w:rPr>
        <w:t>）</w:t>
      </w:r>
      <w:r w:rsidRPr="006B344C">
        <w:rPr>
          <w:rFonts w:ascii="Times New Roman" w:hAnsi="Times New Roman" w:cs="Times New Roman"/>
          <w:spacing w:val="-4"/>
          <w:sz w:val="24"/>
          <w:szCs w:val="24"/>
        </w:rPr>
        <w:t xml:space="preserve"> </w:t>
      </w:r>
      <w:r w:rsidRPr="006B344C">
        <w:rPr>
          <w:rFonts w:ascii="Times New Roman" w:hAnsi="Times New Roman" w:cs="Times New Roman" w:hint="eastAsia"/>
          <w:spacing w:val="-4"/>
          <w:sz w:val="24"/>
          <w:szCs w:val="24"/>
        </w:rPr>
        <w:t>根据《西南财经大学本科生学籍管理规定》第十二条及二十三条的规定，学生的课程成绩以百分制记载，采用</w:t>
      </w:r>
      <w:r w:rsidRPr="006B344C">
        <w:rPr>
          <w:rFonts w:ascii="Times New Roman" w:hAnsi="Times New Roman" w:cs="Times New Roman"/>
          <w:spacing w:val="-4"/>
          <w:sz w:val="24"/>
          <w:szCs w:val="24"/>
        </w:rPr>
        <w:t>GPA</w:t>
      </w:r>
      <w:r w:rsidRPr="006B344C">
        <w:rPr>
          <w:rFonts w:ascii="Times New Roman" w:hAnsi="Times New Roman" w:cs="Times New Roman" w:hint="eastAsia"/>
          <w:spacing w:val="-4"/>
          <w:sz w:val="24"/>
          <w:szCs w:val="24"/>
        </w:rPr>
        <w:t>（平均学分绩点）衡量学生学习质量。</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境外接受学校成绩记载方式大致分为两种：第一种是百分制记载，并对应成绩等级及平均学分绩点；第二种是成绩等级记载，并对应平均学分绩点。</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（二）课程成绩评定转换的操作原则及方法：</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hint="eastAsia"/>
          <w:sz w:val="24"/>
          <w:szCs w:val="24"/>
        </w:rPr>
        <w:t>、操作原则：接受学校的课程成绩评定经转换后，不得高于西南财经大学相应的课程成绩等级（例如，在某接受学校取得</w:t>
      </w:r>
      <w:r w:rsidRPr="006B344C">
        <w:rPr>
          <w:rFonts w:ascii="Times New Roman" w:hAnsi="Times New Roman" w:cs="Times New Roman"/>
          <w:sz w:val="24"/>
          <w:szCs w:val="24"/>
        </w:rPr>
        <w:t>A</w:t>
      </w:r>
      <w:r w:rsidRPr="006B344C">
        <w:rPr>
          <w:rFonts w:ascii="Times New Roman" w:hAnsi="Times New Roman" w:cs="Times New Roman" w:hint="eastAsia"/>
          <w:sz w:val="24"/>
          <w:szCs w:val="24"/>
        </w:rPr>
        <w:t>－的成绩，转换后不得超过我校</w:t>
      </w:r>
      <w:r w:rsidRPr="006B344C">
        <w:rPr>
          <w:rFonts w:ascii="Times New Roman" w:hAnsi="Times New Roman" w:cs="Times New Roman"/>
          <w:sz w:val="24"/>
          <w:szCs w:val="24"/>
        </w:rPr>
        <w:t>A</w:t>
      </w:r>
      <w:r w:rsidRPr="006B344C">
        <w:rPr>
          <w:rFonts w:ascii="Times New Roman" w:hAnsi="Times New Roman" w:cs="Times New Roman" w:hint="eastAsia"/>
          <w:sz w:val="24"/>
          <w:szCs w:val="24"/>
        </w:rPr>
        <w:t>－成绩档的最高分数</w:t>
      </w:r>
      <w:r w:rsidRPr="006B344C">
        <w:rPr>
          <w:rFonts w:ascii="Times New Roman" w:hAnsi="Times New Roman" w:cs="Times New Roman"/>
          <w:sz w:val="24"/>
          <w:szCs w:val="24"/>
        </w:rPr>
        <w:t>89</w:t>
      </w:r>
      <w:r w:rsidRPr="006B344C">
        <w:rPr>
          <w:rFonts w:ascii="Times New Roman" w:hAnsi="Times New Roman" w:cs="Times New Roman" w:hint="eastAsia"/>
          <w:sz w:val="24"/>
          <w:szCs w:val="24"/>
        </w:rPr>
        <w:t>分）；对部分境外接受学校的课程成绩进行转换后，应当低于西南财经大学相关成绩等级一个或两个级别（例如，在某接受学校取得</w:t>
      </w:r>
      <w:r w:rsidRPr="006B344C">
        <w:rPr>
          <w:rFonts w:ascii="Times New Roman" w:hAnsi="Times New Roman" w:cs="Times New Roman"/>
          <w:sz w:val="24"/>
          <w:szCs w:val="24"/>
        </w:rPr>
        <w:t>A</w:t>
      </w:r>
      <w:r w:rsidRPr="006B344C">
        <w:rPr>
          <w:rFonts w:ascii="Times New Roman" w:hAnsi="Times New Roman" w:cs="Times New Roman" w:hint="eastAsia"/>
          <w:sz w:val="24"/>
          <w:szCs w:val="24"/>
        </w:rPr>
        <w:t>－的成绩，转换后应当为相关成绩档</w:t>
      </w:r>
      <w:r w:rsidRPr="006B344C">
        <w:rPr>
          <w:rFonts w:ascii="Times New Roman" w:hAnsi="Times New Roman" w:cs="Times New Roman"/>
          <w:sz w:val="24"/>
          <w:szCs w:val="24"/>
        </w:rPr>
        <w:t>B</w:t>
      </w:r>
      <w:r w:rsidRPr="006B344C">
        <w:rPr>
          <w:rFonts w:ascii="Times New Roman" w:hAnsi="Times New Roman" w:cs="Times New Roman" w:hint="eastAsia"/>
          <w:sz w:val="24"/>
          <w:szCs w:val="24"/>
        </w:rPr>
        <w:t>＋或</w:t>
      </w:r>
      <w:r w:rsidRPr="006B344C">
        <w:rPr>
          <w:rFonts w:ascii="Times New Roman" w:hAnsi="Times New Roman" w:cs="Times New Roman"/>
          <w:sz w:val="24"/>
          <w:szCs w:val="24"/>
        </w:rPr>
        <w:t>B</w:t>
      </w:r>
      <w:r w:rsidRPr="006B344C">
        <w:rPr>
          <w:rFonts w:ascii="Times New Roman" w:hAnsi="Times New Roman" w:cs="Times New Roman" w:hint="eastAsia"/>
          <w:sz w:val="24"/>
          <w:szCs w:val="24"/>
        </w:rPr>
        <w:t>）。具体的学校认定由教务处考核接收学校的排名情况后决定。</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Times New Roman" w:hAnsi="Times New Roman" w:cs="Times New Roman" w:hint="eastAsia"/>
          <w:sz w:val="24"/>
          <w:szCs w:val="24"/>
        </w:rPr>
        <w:t>、具体方法：</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宋体" w:eastAsia="宋体" w:hAnsi="宋体" w:cs="宋体" w:hint="eastAsia"/>
          <w:sz w:val="24"/>
          <w:szCs w:val="24"/>
        </w:rPr>
        <w:t>①</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如学生所修接受学校课程以百分制成绩记载，该课程转换后的成绩按接受学校给出的百分制成绩记载，其成绩等级和平均学分绩点应与我校的对应关系一致。</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例如：某学生在接受学校所修成绩单中成绩登录如下：</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b/>
          <w:bCs/>
          <w:sz w:val="24"/>
          <w:szCs w:val="24"/>
        </w:rPr>
        <w:t>课程名称</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Economics</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b/>
          <w:bCs/>
          <w:sz w:val="24"/>
          <w:szCs w:val="24"/>
        </w:rPr>
        <w:t>成绩</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85</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根据以上操作方法，转换后的我校成绩单中该门课程如实登录</w:t>
      </w:r>
      <w:r w:rsidRPr="006B344C">
        <w:rPr>
          <w:rFonts w:ascii="Times New Roman" w:hAnsi="Times New Roman" w:cs="Times New Roman"/>
          <w:sz w:val="24"/>
          <w:szCs w:val="24"/>
        </w:rPr>
        <w:t>85</w:t>
      </w:r>
      <w:r w:rsidRPr="006B344C">
        <w:rPr>
          <w:rFonts w:ascii="Times New Roman" w:hAnsi="Times New Roman" w:cs="Times New Roman" w:hint="eastAsia"/>
          <w:sz w:val="24"/>
          <w:szCs w:val="24"/>
        </w:rPr>
        <w:t>分，同时对应我校的成绩等级和平均学分绩点分别为</w:t>
      </w:r>
      <w:r w:rsidRPr="006B344C">
        <w:rPr>
          <w:rFonts w:ascii="Times New Roman" w:hAnsi="Times New Roman" w:cs="Times New Roman"/>
          <w:sz w:val="24"/>
          <w:szCs w:val="24"/>
        </w:rPr>
        <w:t>A-</w:t>
      </w:r>
      <w:r w:rsidRPr="006B344C">
        <w:rPr>
          <w:rFonts w:ascii="Times New Roman" w:hAnsi="Times New Roman" w:cs="Times New Roman" w:hint="eastAsia"/>
          <w:sz w:val="24"/>
          <w:szCs w:val="24"/>
        </w:rPr>
        <w:t>和</w:t>
      </w:r>
      <w:r w:rsidRPr="006B344C">
        <w:rPr>
          <w:rFonts w:ascii="Times New Roman" w:hAnsi="Times New Roman" w:cs="Times New Roman"/>
          <w:sz w:val="24"/>
          <w:szCs w:val="24"/>
        </w:rPr>
        <w:t>3.5</w:t>
      </w:r>
      <w:r w:rsidRPr="006B344C">
        <w:rPr>
          <w:rFonts w:ascii="Times New Roman" w:hAnsi="Times New Roman" w:cs="Times New Roman" w:hint="eastAsia"/>
          <w:sz w:val="24"/>
          <w:szCs w:val="24"/>
        </w:rPr>
        <w:t>。</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宋体" w:eastAsia="宋体" w:hAnsi="宋体" w:cs="宋体" w:hint="eastAsia"/>
          <w:sz w:val="24"/>
          <w:szCs w:val="24"/>
        </w:rPr>
        <w:t>②</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对学生在接受学校所修课程成绩以成绩等级（</w:t>
      </w:r>
      <w:r w:rsidRPr="006B344C">
        <w:rPr>
          <w:rFonts w:ascii="Times New Roman" w:hAnsi="Times New Roman" w:cs="Times New Roman"/>
          <w:sz w:val="24"/>
          <w:szCs w:val="24"/>
        </w:rPr>
        <w:t>A</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B</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C</w:t>
      </w:r>
      <w:r w:rsidRPr="006B344C">
        <w:rPr>
          <w:rFonts w:ascii="Times New Roman" w:hAnsi="Times New Roman" w:cs="Times New Roman"/>
          <w:sz w:val="24"/>
          <w:szCs w:val="24"/>
        </w:rPr>
        <w:t>学生</w:t>
      </w:r>
      <w:r w:rsidRPr="006B344C">
        <w:rPr>
          <w:rFonts w:ascii="Times New Roman" w:hAnsi="Times New Roman" w:cs="Times New Roman" w:hint="eastAsia"/>
          <w:sz w:val="24"/>
          <w:szCs w:val="24"/>
        </w:rPr>
        <w:t>）记载的，则在对照接受学校与我校成绩等级、百分制成绩以及平均学分绩点的对应关系后，根据具体情况转换成我校相应的成绩等级（一般是与原成绩等级相同或者低于原成绩等级</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到</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个级别），最后根据给出的成绩等级对照我校百分制成绩段，并以“</w:t>
      </w:r>
      <w:r w:rsidRPr="006B344C">
        <w:rPr>
          <w:rFonts w:ascii="Times New Roman" w:hAnsi="Times New Roman" w:cs="Times New Roman" w:hint="eastAsia"/>
          <w:b/>
          <w:bCs/>
          <w:sz w:val="24"/>
          <w:szCs w:val="24"/>
        </w:rPr>
        <w:t>居中</w:t>
      </w:r>
      <w:r w:rsidRPr="006B344C">
        <w:rPr>
          <w:rFonts w:ascii="Times New Roman" w:hAnsi="Times New Roman" w:cs="Times New Roman" w:hint="eastAsia"/>
          <w:sz w:val="24"/>
          <w:szCs w:val="24"/>
        </w:rPr>
        <w:t>”原则给出课程转换后相应的百分制成绩。</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例如，某学生在接受学校学习的成绩单中成绩登录如下：</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b/>
          <w:bCs/>
          <w:sz w:val="24"/>
          <w:szCs w:val="24"/>
        </w:rPr>
        <w:t>课程名称</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 xml:space="preserve"> International Trade</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b/>
          <w:bCs/>
          <w:sz w:val="24"/>
          <w:szCs w:val="24"/>
        </w:rPr>
        <w:t>成绩</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B</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如经对照我校与接受学校成绩等级、百分制成绩以及平均学分绩点对应关系后，确定该门课程转换后的成绩等级仍为</w:t>
      </w:r>
      <w:r w:rsidRPr="006B344C">
        <w:rPr>
          <w:rFonts w:ascii="Times New Roman" w:hAnsi="Times New Roman" w:cs="Times New Roman"/>
          <w:sz w:val="24"/>
          <w:szCs w:val="24"/>
        </w:rPr>
        <w:t>B</w:t>
      </w:r>
      <w:r w:rsidRPr="006B344C">
        <w:rPr>
          <w:rFonts w:ascii="Times New Roman" w:hAnsi="Times New Roman" w:cs="Times New Roman" w:hint="eastAsia"/>
          <w:sz w:val="24"/>
          <w:szCs w:val="24"/>
        </w:rPr>
        <w:t>，则按照我校成绩等级、百分制成绩以及平均学分绩点对应关系和“居中”原则，转换后的百分制成绩为：</w:t>
      </w:r>
      <w:r w:rsidRPr="006B344C">
        <w:rPr>
          <w:rFonts w:ascii="Times New Roman" w:hAnsi="Times New Roman" w:cs="Times New Roman"/>
          <w:sz w:val="24"/>
          <w:szCs w:val="24"/>
        </w:rPr>
        <w:t>82</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80</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84</w:t>
      </w:r>
      <w:r w:rsidRPr="006B344C">
        <w:rPr>
          <w:rFonts w:ascii="Times New Roman" w:hAnsi="Times New Roman" w:cs="Times New Roman" w:hint="eastAsia"/>
          <w:sz w:val="24"/>
          <w:szCs w:val="24"/>
        </w:rPr>
        <w:t>居中），其对应平均学分绩点为</w:t>
      </w:r>
      <w:r w:rsidRPr="006B344C">
        <w:rPr>
          <w:rFonts w:ascii="Times New Roman" w:hAnsi="Times New Roman" w:cs="Times New Roman"/>
          <w:sz w:val="24"/>
          <w:szCs w:val="24"/>
        </w:rPr>
        <w:t>3.2</w:t>
      </w:r>
      <w:r w:rsidRPr="006B344C">
        <w:rPr>
          <w:rFonts w:ascii="Times New Roman" w:hAnsi="Times New Roman" w:cs="Times New Roman" w:hint="eastAsia"/>
          <w:sz w:val="24"/>
          <w:szCs w:val="24"/>
        </w:rPr>
        <w:t>。如经对照我校与接受学校成绩等级、百分制成绩以及平均学分绩点对应关系后，确定该门课程转换后成绩等级应该降</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个级别，即为</w:t>
      </w:r>
      <w:r w:rsidRPr="006B344C">
        <w:rPr>
          <w:rFonts w:ascii="Times New Roman" w:hAnsi="Times New Roman" w:cs="Times New Roman"/>
          <w:sz w:val="24"/>
          <w:szCs w:val="24"/>
        </w:rPr>
        <w:t>B-</w:t>
      </w:r>
      <w:r w:rsidRPr="006B344C">
        <w:rPr>
          <w:rFonts w:ascii="Times New Roman" w:hAnsi="Times New Roman" w:cs="Times New Roman" w:hint="eastAsia"/>
          <w:sz w:val="24"/>
          <w:szCs w:val="24"/>
        </w:rPr>
        <w:t>，则按照我校成绩等级、百分制成绩以及平均学分绩点对应关系和“居中”原则，转换后的百分制成绩为：</w:t>
      </w:r>
      <w:r w:rsidRPr="006B344C">
        <w:rPr>
          <w:rFonts w:ascii="Times New Roman" w:hAnsi="Times New Roman" w:cs="Times New Roman"/>
          <w:sz w:val="24"/>
          <w:szCs w:val="24"/>
        </w:rPr>
        <w:t>77</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75</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79</w:t>
      </w:r>
      <w:r w:rsidRPr="006B344C">
        <w:rPr>
          <w:rFonts w:ascii="Times New Roman" w:hAnsi="Times New Roman" w:cs="Times New Roman" w:hint="eastAsia"/>
          <w:sz w:val="24"/>
          <w:szCs w:val="24"/>
        </w:rPr>
        <w:t>居中），其对应的平均学分绩点为</w:t>
      </w:r>
      <w:r w:rsidRPr="006B344C">
        <w:rPr>
          <w:rFonts w:ascii="Times New Roman" w:hAnsi="Times New Roman" w:cs="Times New Roman"/>
          <w:sz w:val="24"/>
          <w:szCs w:val="24"/>
        </w:rPr>
        <w:t>2.7</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（三）课程学分</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学时数的转换方法如下：</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）学生在境外大学所修课程经认定并能转换成我校课程的，其学分</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学时数应该按照我校的课程学分</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学时数登录。</w:t>
      </w:r>
    </w:p>
    <w:p w:rsidR="00310F82" w:rsidRPr="006B344C" w:rsidRDefault="00310F82" w:rsidP="004B3025">
      <w:pPr>
        <w:spacing w:line="329" w:lineRule="auto"/>
        <w:ind w:firstLineChars="200" w:firstLine="496"/>
        <w:jc w:val="left"/>
        <w:rPr>
          <w:rFonts w:ascii="Times New Roman" w:hAnsi="Times New Roman" w:cs="Times New Roman"/>
          <w:b/>
          <w:bCs/>
          <w:spacing w:val="4"/>
          <w:sz w:val="24"/>
          <w:szCs w:val="24"/>
        </w:rPr>
      </w:pPr>
      <w:r w:rsidRPr="006B344C">
        <w:rPr>
          <w:rFonts w:ascii="Times New Roman" w:hAnsi="Times New Roman" w:cs="Times New Roman" w:hint="eastAsia"/>
          <w:spacing w:val="4"/>
          <w:sz w:val="24"/>
          <w:szCs w:val="24"/>
        </w:rPr>
        <w:t>（</w:t>
      </w:r>
      <w:r w:rsidRPr="006B344C">
        <w:rPr>
          <w:rFonts w:ascii="Times New Roman" w:hAnsi="Times New Roman" w:cs="Times New Roman"/>
          <w:spacing w:val="4"/>
          <w:sz w:val="24"/>
          <w:szCs w:val="24"/>
        </w:rPr>
        <w:t>2</w:t>
      </w:r>
      <w:r w:rsidRPr="006B344C">
        <w:rPr>
          <w:rFonts w:ascii="Times New Roman" w:hAnsi="Times New Roman" w:cs="Times New Roman" w:hint="eastAsia"/>
          <w:spacing w:val="4"/>
          <w:sz w:val="24"/>
          <w:szCs w:val="24"/>
        </w:rPr>
        <w:t>）学生在境外大学所修课程如不能转换成我校课程的，需按照该大学学时与学分的对应关系，并参照我校学时与学分的对应关系给出相应的学时</w:t>
      </w:r>
      <w:r w:rsidRPr="006B344C">
        <w:rPr>
          <w:rFonts w:ascii="Times New Roman" w:hAnsi="Times New Roman" w:cs="Times New Roman"/>
          <w:spacing w:val="4"/>
          <w:sz w:val="24"/>
          <w:szCs w:val="24"/>
        </w:rPr>
        <w:t>/</w:t>
      </w:r>
      <w:r w:rsidRPr="006B344C">
        <w:rPr>
          <w:rFonts w:ascii="Times New Roman" w:hAnsi="Times New Roman" w:cs="Times New Roman" w:hint="eastAsia"/>
          <w:spacing w:val="4"/>
          <w:sz w:val="24"/>
          <w:szCs w:val="24"/>
        </w:rPr>
        <w:t>学分数。</w:t>
      </w:r>
    </w:p>
    <w:p w:rsidR="00310F82" w:rsidRPr="006B344C" w:rsidRDefault="00310F82" w:rsidP="00A65DF2">
      <w:pPr>
        <w:pStyle w:val="4"/>
        <w:ind w:firstLine="480"/>
        <w:rPr>
          <w:rFonts w:ascii="Times New Roman" w:hAnsi="Times New Roman" w:cs="Times New Roman"/>
        </w:rPr>
      </w:pPr>
      <w:r w:rsidRPr="006B344C">
        <w:rPr>
          <w:rFonts w:ascii="Times New Roman" w:hAnsi="Times New Roman" w:cs="Times New Roman" w:hint="eastAsia"/>
        </w:rPr>
        <w:t>四、课程认定和学分转换的基本程序</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（一）必修课程认定</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）学生申请赴接受学校学习之前，需充分了解接受学校当期的课程设置，并对照我校教学计划，提交书面的学习计划报所在学院批准备案。</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）学生学习期满返校后，由本人向所在学院提出必修课程学分转换的书面申请，同时附对方学校提供的成绩单原件一份及复印件（正反两面）两份、所修课程的大纲及简介。</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3</w:t>
      </w:r>
      <w:r w:rsidRPr="006B344C">
        <w:rPr>
          <w:rFonts w:ascii="Times New Roman" w:hAnsi="Times New Roman" w:cs="Times New Roman" w:hint="eastAsia"/>
          <w:sz w:val="24"/>
          <w:szCs w:val="24"/>
        </w:rPr>
        <w:t>）学生将以上资料提交给所在学院，经学院审查后认定学生所修的课程中哪些课程可以转换成必修课。</w:t>
      </w:r>
    </w:p>
    <w:p w:rsidR="00310F82" w:rsidRPr="006B344C" w:rsidRDefault="00310F82" w:rsidP="004B3025">
      <w:pPr>
        <w:spacing w:line="329" w:lineRule="auto"/>
        <w:ind w:firstLineChars="200" w:firstLine="496"/>
        <w:jc w:val="left"/>
        <w:rPr>
          <w:rFonts w:ascii="Times New Roman" w:hAnsi="Times New Roman" w:cs="Times New Roman"/>
          <w:spacing w:val="4"/>
          <w:sz w:val="24"/>
          <w:szCs w:val="24"/>
        </w:rPr>
      </w:pPr>
      <w:r w:rsidRPr="006B344C">
        <w:rPr>
          <w:rFonts w:ascii="Times New Roman" w:hAnsi="Times New Roman" w:cs="Times New Roman" w:hint="eastAsia"/>
          <w:spacing w:val="4"/>
          <w:sz w:val="24"/>
          <w:szCs w:val="24"/>
        </w:rPr>
        <w:t>（</w:t>
      </w:r>
      <w:r w:rsidRPr="006B344C">
        <w:rPr>
          <w:rFonts w:ascii="Times New Roman" w:hAnsi="Times New Roman" w:cs="Times New Roman"/>
          <w:spacing w:val="4"/>
          <w:sz w:val="24"/>
          <w:szCs w:val="24"/>
        </w:rPr>
        <w:t>4</w:t>
      </w:r>
      <w:r w:rsidRPr="006B344C">
        <w:rPr>
          <w:rFonts w:ascii="Times New Roman" w:hAnsi="Times New Roman" w:cs="Times New Roman" w:hint="eastAsia"/>
          <w:spacing w:val="4"/>
          <w:sz w:val="24"/>
          <w:szCs w:val="24"/>
        </w:rPr>
        <w:t>）学生根据认定结果填写“西南财经大学交换学生课程成绩认定及学分转换表（一）”（可下载）并将填好后的表（一）交给主管教学的院长审查、签字。</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5</w:t>
      </w:r>
      <w:r w:rsidRPr="006B344C">
        <w:rPr>
          <w:rFonts w:ascii="Times New Roman" w:hAnsi="Times New Roman" w:cs="Times New Roman" w:hint="eastAsia"/>
          <w:sz w:val="24"/>
          <w:szCs w:val="24"/>
        </w:rPr>
        <w:t>）学院本科教学秘书将签字后的表（一）交到教务处，将认定后可转为必修课的课程（包括</w:t>
      </w:r>
      <w:r w:rsidRPr="006B344C">
        <w:rPr>
          <w:rFonts w:ascii="Times New Roman" w:hAnsi="Times New Roman" w:cs="Times New Roman" w:hint="eastAsia"/>
          <w:bCs/>
          <w:sz w:val="24"/>
          <w:szCs w:val="24"/>
        </w:rPr>
        <w:t>课程名称、成绩以及学分</w:t>
      </w:r>
      <w:r w:rsidRPr="006B344C">
        <w:rPr>
          <w:rFonts w:ascii="Times New Roman" w:hAnsi="Times New Roman" w:cs="Times New Roman"/>
          <w:bCs/>
          <w:sz w:val="24"/>
          <w:szCs w:val="24"/>
        </w:rPr>
        <w:t>/</w:t>
      </w:r>
      <w:r w:rsidRPr="006B344C">
        <w:rPr>
          <w:rFonts w:ascii="Times New Roman" w:hAnsi="Times New Roman" w:cs="Times New Roman" w:hint="eastAsia"/>
          <w:bCs/>
          <w:sz w:val="24"/>
          <w:szCs w:val="24"/>
        </w:rPr>
        <w:t>学时数</w:t>
      </w:r>
      <w:r w:rsidRPr="006B344C">
        <w:rPr>
          <w:rFonts w:ascii="Times New Roman" w:hAnsi="Times New Roman" w:cs="Times New Roman" w:hint="eastAsia"/>
          <w:sz w:val="24"/>
          <w:szCs w:val="24"/>
        </w:rPr>
        <w:t>）登入学生成绩单；同时将接受学校成绩单复印件、“西南财经大学交换学生课程成绩认定及学分转换表（一）”交教务处考试科备案，学院留一份成绩单原件存档。原成绩单中未认定为必修课的课程，按我校选修课程认定处理。</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（二）选修课程认定</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）教务处成立校际交流课程认定小组，负责选修课程认定、成绩及学分转换。</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）学生所修课程如果与我校已经开设的选修课程内容基本接近，可转换为我校的选修课程，课程名称和学分</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学时与我校的课程相同。</w:t>
      </w:r>
    </w:p>
    <w:p w:rsidR="00310F82" w:rsidRPr="006B344C" w:rsidRDefault="00310F82" w:rsidP="004B3025">
      <w:pPr>
        <w:spacing w:line="329" w:lineRule="auto"/>
        <w:ind w:firstLineChars="200" w:firstLine="496"/>
        <w:jc w:val="left"/>
        <w:rPr>
          <w:rFonts w:ascii="Times New Roman" w:hAnsi="Times New Roman" w:cs="Times New Roman"/>
          <w:spacing w:val="4"/>
          <w:sz w:val="24"/>
          <w:szCs w:val="24"/>
        </w:rPr>
      </w:pPr>
      <w:r w:rsidRPr="006B344C">
        <w:rPr>
          <w:rFonts w:ascii="Times New Roman" w:hAnsi="Times New Roman" w:cs="Times New Roman" w:hint="eastAsia"/>
          <w:spacing w:val="4"/>
          <w:sz w:val="24"/>
          <w:szCs w:val="24"/>
        </w:rPr>
        <w:t>（</w:t>
      </w:r>
      <w:r w:rsidRPr="006B344C">
        <w:rPr>
          <w:rFonts w:ascii="Times New Roman" w:hAnsi="Times New Roman" w:cs="Times New Roman"/>
          <w:spacing w:val="4"/>
          <w:sz w:val="24"/>
          <w:szCs w:val="24"/>
        </w:rPr>
        <w:t>3</w:t>
      </w:r>
      <w:r w:rsidRPr="006B344C">
        <w:rPr>
          <w:rFonts w:ascii="Times New Roman" w:hAnsi="Times New Roman" w:cs="Times New Roman" w:hint="eastAsia"/>
          <w:spacing w:val="4"/>
          <w:sz w:val="24"/>
          <w:szCs w:val="24"/>
        </w:rPr>
        <w:t>）学生所修课程如果与我校已经开设的选修课程内容与名称不接近，应由学生提供该课程初始的中文名称翻译（英文名称一般为原课程名），经校际交流课程认定小组审核后，课程学时</w:t>
      </w:r>
      <w:r w:rsidRPr="006B344C">
        <w:rPr>
          <w:rFonts w:ascii="Times New Roman" w:hAnsi="Times New Roman" w:cs="Times New Roman"/>
          <w:spacing w:val="4"/>
          <w:sz w:val="24"/>
          <w:szCs w:val="24"/>
        </w:rPr>
        <w:t>/</w:t>
      </w:r>
      <w:r w:rsidRPr="006B344C">
        <w:rPr>
          <w:rFonts w:ascii="Times New Roman" w:hAnsi="Times New Roman" w:cs="Times New Roman" w:hint="eastAsia"/>
          <w:spacing w:val="4"/>
          <w:sz w:val="24"/>
          <w:szCs w:val="24"/>
        </w:rPr>
        <w:t>学分数参照我校</w:t>
      </w:r>
      <w:r w:rsidRPr="006B344C">
        <w:rPr>
          <w:rFonts w:ascii="Times New Roman" w:hAnsi="Times New Roman" w:cs="Times New Roman"/>
          <w:spacing w:val="4"/>
          <w:sz w:val="24"/>
          <w:szCs w:val="24"/>
        </w:rPr>
        <w:t>1</w:t>
      </w:r>
      <w:r w:rsidRPr="006B344C">
        <w:rPr>
          <w:rFonts w:ascii="Times New Roman" w:hAnsi="Times New Roman" w:cs="Times New Roman" w:hint="eastAsia"/>
          <w:spacing w:val="4"/>
          <w:sz w:val="24"/>
          <w:szCs w:val="24"/>
        </w:rPr>
        <w:t>学分对应</w:t>
      </w:r>
      <w:r w:rsidRPr="006B344C">
        <w:rPr>
          <w:rFonts w:ascii="Times New Roman" w:hAnsi="Times New Roman" w:cs="Times New Roman"/>
          <w:spacing w:val="4"/>
          <w:sz w:val="24"/>
          <w:szCs w:val="24"/>
        </w:rPr>
        <w:t>16</w:t>
      </w:r>
      <w:r w:rsidRPr="006B344C">
        <w:rPr>
          <w:rFonts w:ascii="Times New Roman" w:hAnsi="Times New Roman" w:cs="Times New Roman" w:hint="eastAsia"/>
          <w:spacing w:val="4"/>
          <w:sz w:val="24"/>
          <w:szCs w:val="24"/>
        </w:rPr>
        <w:t>学时进行转换。</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w:t>
      </w:r>
      <w:r w:rsidRPr="006B344C">
        <w:rPr>
          <w:rFonts w:ascii="Times New Roman" w:hAnsi="Times New Roman" w:cs="Times New Roman"/>
          <w:sz w:val="24"/>
          <w:szCs w:val="24"/>
        </w:rPr>
        <w:t>4</w:t>
      </w:r>
      <w:r w:rsidRPr="006B344C">
        <w:rPr>
          <w:rFonts w:ascii="Times New Roman" w:hAnsi="Times New Roman" w:cs="Times New Roman" w:hint="eastAsia"/>
          <w:sz w:val="24"/>
          <w:szCs w:val="24"/>
        </w:rPr>
        <w:t>）教务处校际交流课程审查小组填写“西南财经大学交换学生课程成绩认定及学分转换表（二）”，由教务处长签字确认，教务处统一将转换后的选修课程（包括</w:t>
      </w:r>
      <w:r w:rsidRPr="006B344C">
        <w:rPr>
          <w:rFonts w:ascii="Times New Roman" w:hAnsi="Times New Roman" w:cs="Times New Roman" w:hint="eastAsia"/>
          <w:b/>
          <w:bCs/>
          <w:sz w:val="24"/>
          <w:szCs w:val="24"/>
        </w:rPr>
        <w:t>课程名称、成绩以及学分</w:t>
      </w:r>
      <w:r w:rsidRPr="006B344C">
        <w:rPr>
          <w:rFonts w:ascii="Times New Roman" w:hAnsi="Times New Roman" w:cs="Times New Roman"/>
          <w:b/>
          <w:bCs/>
          <w:sz w:val="24"/>
          <w:szCs w:val="24"/>
        </w:rPr>
        <w:t>/</w:t>
      </w:r>
      <w:r w:rsidRPr="006B344C">
        <w:rPr>
          <w:rFonts w:ascii="Times New Roman" w:hAnsi="Times New Roman" w:cs="Times New Roman" w:hint="eastAsia"/>
          <w:b/>
          <w:bCs/>
          <w:sz w:val="24"/>
          <w:szCs w:val="24"/>
        </w:rPr>
        <w:t>学时数</w:t>
      </w:r>
      <w:r w:rsidRPr="006B344C">
        <w:rPr>
          <w:rFonts w:ascii="Times New Roman" w:hAnsi="Times New Roman" w:cs="Times New Roman" w:hint="eastAsia"/>
          <w:sz w:val="24"/>
          <w:szCs w:val="24"/>
        </w:rPr>
        <w:t>）登入学生成绩单。</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（三）申请及处理时限</w:t>
      </w:r>
    </w:p>
    <w:p w:rsidR="00310F82" w:rsidRPr="006B344C" w:rsidRDefault="00310F82" w:rsidP="004B3025">
      <w:pPr>
        <w:spacing w:line="329" w:lineRule="auto"/>
        <w:ind w:firstLineChars="200" w:firstLine="464"/>
        <w:jc w:val="left"/>
        <w:rPr>
          <w:rFonts w:ascii="Times New Roman" w:hAnsi="Times New Roman" w:cs="Times New Roman"/>
          <w:spacing w:val="-4"/>
          <w:sz w:val="24"/>
          <w:szCs w:val="24"/>
        </w:rPr>
      </w:pPr>
      <w:r w:rsidRPr="006B344C">
        <w:rPr>
          <w:rFonts w:ascii="Times New Roman" w:hAnsi="Times New Roman" w:cs="Times New Roman" w:hint="eastAsia"/>
          <w:spacing w:val="-4"/>
          <w:sz w:val="24"/>
          <w:szCs w:val="24"/>
        </w:rPr>
        <w:t>学生申请成绩转换的截止时间是学生返校后当期开学后第</w:t>
      </w:r>
      <w:r w:rsidRPr="006B344C">
        <w:rPr>
          <w:rFonts w:ascii="Times New Roman" w:hAnsi="Times New Roman" w:cs="Times New Roman"/>
          <w:spacing w:val="-4"/>
          <w:sz w:val="24"/>
          <w:szCs w:val="24"/>
        </w:rPr>
        <w:t>8</w:t>
      </w:r>
      <w:r w:rsidRPr="006B344C">
        <w:rPr>
          <w:rFonts w:ascii="Times New Roman" w:hAnsi="Times New Roman" w:cs="Times New Roman" w:hint="eastAsia"/>
          <w:spacing w:val="-4"/>
          <w:sz w:val="24"/>
          <w:szCs w:val="24"/>
        </w:rPr>
        <w:t>周，逾期不予办理。</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教务处应在每学期第</w:t>
      </w:r>
      <w:r w:rsidRPr="006B344C">
        <w:rPr>
          <w:rFonts w:ascii="Times New Roman" w:hAnsi="Times New Roman" w:cs="Times New Roman"/>
          <w:sz w:val="24"/>
          <w:szCs w:val="24"/>
        </w:rPr>
        <w:t>10</w:t>
      </w:r>
      <w:r w:rsidRPr="006B344C">
        <w:rPr>
          <w:rFonts w:ascii="Times New Roman" w:hAnsi="Times New Roman" w:cs="Times New Roman" w:hint="eastAsia"/>
          <w:sz w:val="24"/>
          <w:szCs w:val="24"/>
        </w:rPr>
        <w:t>周将转换后的成绩登录完毕，并将相关材料存档备查。</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r w:rsidRPr="006B344C">
        <w:rPr>
          <w:rFonts w:ascii="Times New Roman" w:hAnsi="Times New Roman" w:cs="Times New Roman" w:hint="eastAsia"/>
          <w:sz w:val="24"/>
          <w:szCs w:val="24"/>
        </w:rPr>
        <w:t>本办法自颁布之日起执行，由教务处负责解释。</w:t>
      </w:r>
    </w:p>
    <w:p w:rsidR="00310F82" w:rsidRPr="006B344C" w:rsidRDefault="00310F82" w:rsidP="004B3025">
      <w:pPr>
        <w:spacing w:line="329" w:lineRule="auto"/>
        <w:ind w:firstLineChars="200" w:firstLine="480"/>
        <w:jc w:val="left"/>
        <w:rPr>
          <w:rFonts w:ascii="Times New Roman" w:hAnsi="Times New Roman" w:cs="Times New Roman"/>
          <w:sz w:val="24"/>
          <w:szCs w:val="24"/>
        </w:rPr>
      </w:pPr>
    </w:p>
    <w:p w:rsidR="00310F82" w:rsidRPr="006B344C" w:rsidRDefault="00310F82" w:rsidP="004B3025">
      <w:pPr>
        <w:spacing w:line="329" w:lineRule="auto"/>
        <w:ind w:rightChars="200" w:right="420" w:firstLineChars="225" w:firstLine="540"/>
        <w:rPr>
          <w:rFonts w:ascii="Times New Roman" w:hAnsi="Times New Roman" w:cs="Times New Roman"/>
          <w:sz w:val="24"/>
          <w:szCs w:val="24"/>
        </w:rPr>
      </w:pP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教务处</w:t>
      </w:r>
    </w:p>
    <w:p w:rsidR="00310F82" w:rsidRPr="006B344C" w:rsidRDefault="00310F82" w:rsidP="004B3025">
      <w:pPr>
        <w:spacing w:line="329" w:lineRule="auto"/>
        <w:ind w:rightChars="200" w:right="420" w:firstLineChars="225" w:firstLine="540"/>
        <w:rPr>
          <w:rFonts w:ascii="Times New Roman" w:hAnsi="Times New Roman" w:cs="Times New Roman"/>
          <w:sz w:val="24"/>
          <w:szCs w:val="24"/>
        </w:rPr>
      </w:pPr>
      <w:r w:rsidRPr="006B344C">
        <w:rPr>
          <w:rFonts w:ascii="Times New Roman" w:hAnsi="Times New Roman" w:cs="Times New Roman"/>
          <w:sz w:val="24"/>
          <w:szCs w:val="24"/>
        </w:rPr>
        <w:t xml:space="preserve">                                                 2009</w:t>
      </w:r>
      <w:r w:rsidRPr="006B344C">
        <w:rPr>
          <w:rFonts w:ascii="Times New Roman" w:hAnsi="Times New Roman" w:cs="Times New Roman" w:hint="eastAsia"/>
          <w:sz w:val="24"/>
          <w:szCs w:val="24"/>
        </w:rPr>
        <w:t>年</w:t>
      </w:r>
      <w:r w:rsidRPr="006B344C">
        <w:rPr>
          <w:rFonts w:ascii="Times New Roman" w:hAnsi="Times New Roman" w:cs="Times New Roman"/>
          <w:sz w:val="24"/>
          <w:szCs w:val="24"/>
        </w:rPr>
        <w:t>7</w:t>
      </w:r>
      <w:r w:rsidRPr="006B344C">
        <w:rPr>
          <w:rFonts w:ascii="Times New Roman" w:hAnsi="Times New Roman" w:cs="Times New Roman" w:hint="eastAsia"/>
          <w:sz w:val="24"/>
          <w:szCs w:val="24"/>
        </w:rPr>
        <w:t>月</w:t>
      </w:r>
    </w:p>
    <w:p w:rsidR="00310F82" w:rsidRPr="006B344C" w:rsidRDefault="00310F82" w:rsidP="004B3025">
      <w:pPr>
        <w:spacing w:line="329" w:lineRule="auto"/>
        <w:rPr>
          <w:rFonts w:ascii="Times New Roman" w:hAnsi="Times New Roman" w:cs="Times New Roman"/>
          <w:b/>
          <w:sz w:val="24"/>
          <w:szCs w:val="24"/>
        </w:rPr>
      </w:pPr>
      <w:r w:rsidRPr="006B344C">
        <w:rPr>
          <w:rFonts w:ascii="Times New Roman" w:hAnsi="Times New Roman" w:cs="Times New Roman"/>
          <w:b/>
          <w:sz w:val="24"/>
          <w:szCs w:val="24"/>
        </w:rPr>
        <w:br w:type="page"/>
      </w:r>
    </w:p>
    <w:p w:rsidR="00310F82" w:rsidRDefault="00310F82" w:rsidP="00D43417">
      <w:pPr>
        <w:sectPr w:rsidR="00310F82" w:rsidSect="009D201D">
          <w:type w:val="continuous"/>
          <w:pgSz w:w="11906" w:h="16838" w:code="9"/>
          <w:pgMar w:top="1440" w:right="1797" w:bottom="1440" w:left="1797" w:header="851" w:footer="992" w:gutter="0"/>
          <w:pgNumType w:start="1"/>
          <w:cols w:space="425"/>
          <w:docGrid w:linePitch="312"/>
        </w:sectPr>
      </w:pPr>
    </w:p>
    <w:p w:rsidR="00623969" w:rsidRDefault="00623969"/>
    <w:sectPr w:rsidR="006239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Noto Sans Mono CJK JP Regular">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5659A"/>
    <w:multiLevelType w:val="hybridMultilevel"/>
    <w:tmpl w:val="C3761820"/>
    <w:lvl w:ilvl="0" w:tplc="B48CE6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D63E8D"/>
    <w:multiLevelType w:val="hybridMultilevel"/>
    <w:tmpl w:val="4596DDBE"/>
    <w:lvl w:ilvl="0" w:tplc="5CE05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4ED7665"/>
    <w:multiLevelType w:val="hybridMultilevel"/>
    <w:tmpl w:val="F31E8A3E"/>
    <w:lvl w:ilvl="0" w:tplc="E398D1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FF61FA1"/>
    <w:multiLevelType w:val="hybridMultilevel"/>
    <w:tmpl w:val="7A46350C"/>
    <w:lvl w:ilvl="0" w:tplc="A3E651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F82"/>
    <w:rsid w:val="00310F82"/>
    <w:rsid w:val="0062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6942261-653B-4572-A1ED-C775044D8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10F82"/>
    <w:pPr>
      <w:spacing w:beforeLines="200" w:before="480" w:afterLines="200" w:after="480"/>
      <w:jc w:val="center"/>
      <w:outlineLvl w:val="0"/>
    </w:pPr>
    <w:rPr>
      <w:rFonts w:ascii="Times New Roman" w:eastAsia="黑体" w:hAnsi="Times New Roman" w:cs="Times New Roman"/>
      <w:b/>
      <w:kern w:val="0"/>
      <w:sz w:val="52"/>
      <w:szCs w:val="52"/>
    </w:rPr>
  </w:style>
  <w:style w:type="paragraph" w:styleId="2">
    <w:name w:val="heading 2"/>
    <w:basedOn w:val="1"/>
    <w:next w:val="a"/>
    <w:link w:val="20"/>
    <w:uiPriority w:val="9"/>
    <w:unhideWhenUsed/>
    <w:qFormat/>
    <w:rsid w:val="00310F82"/>
    <w:pPr>
      <w:pageBreakBefore/>
      <w:outlineLvl w:val="1"/>
    </w:pPr>
    <w:rPr>
      <w:sz w:val="32"/>
      <w:szCs w:val="32"/>
    </w:rPr>
  </w:style>
  <w:style w:type="paragraph" w:styleId="3">
    <w:name w:val="heading 3"/>
    <w:basedOn w:val="a"/>
    <w:next w:val="a"/>
    <w:link w:val="30"/>
    <w:uiPriority w:val="9"/>
    <w:unhideWhenUsed/>
    <w:qFormat/>
    <w:rsid w:val="00310F82"/>
    <w:pPr>
      <w:keepNext/>
      <w:keepLines/>
      <w:spacing w:beforeLines="100" w:before="240" w:afterLines="100" w:after="240" w:line="329" w:lineRule="auto"/>
      <w:jc w:val="center"/>
      <w:outlineLvl w:val="2"/>
    </w:pPr>
    <w:rPr>
      <w:rFonts w:asciiTheme="minorEastAsia" w:hAnsiTheme="minorEastAsia" w:cs="Times New Roman"/>
      <w:b/>
      <w:sz w:val="24"/>
      <w:szCs w:val="24"/>
    </w:rPr>
  </w:style>
  <w:style w:type="paragraph" w:styleId="4">
    <w:name w:val="heading 4"/>
    <w:basedOn w:val="a"/>
    <w:next w:val="a"/>
    <w:link w:val="40"/>
    <w:uiPriority w:val="9"/>
    <w:unhideWhenUsed/>
    <w:qFormat/>
    <w:rsid w:val="00310F82"/>
    <w:pPr>
      <w:keepNext/>
      <w:keepLines/>
      <w:spacing w:beforeLines="100" w:before="240" w:afterLines="100" w:after="240" w:line="329" w:lineRule="auto"/>
      <w:ind w:firstLineChars="200" w:firstLine="482"/>
      <w:outlineLvl w:val="3"/>
    </w:pPr>
    <w:rPr>
      <w:rFonts w:asciiTheme="majorHAnsi" w:eastAsiaTheme="majorEastAsia" w:hAnsiTheme="majorHAnsi" w:cstheme="majorBidi"/>
      <w:b/>
      <w:bCs/>
      <w:sz w:val="24"/>
      <w:szCs w:val="24"/>
    </w:rPr>
  </w:style>
  <w:style w:type="paragraph" w:styleId="5">
    <w:name w:val="heading 5"/>
    <w:basedOn w:val="a"/>
    <w:next w:val="a"/>
    <w:link w:val="50"/>
    <w:uiPriority w:val="9"/>
    <w:semiHidden/>
    <w:unhideWhenUsed/>
    <w:qFormat/>
    <w:rsid w:val="00310F82"/>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310F82"/>
    <w:pPr>
      <w:spacing w:line="329" w:lineRule="auto"/>
      <w:jc w:val="center"/>
      <w:outlineLvl w:val="5"/>
    </w:pPr>
    <w:rPr>
      <w:rFonts w:ascii="宋体" w:hAnsi="宋体"/>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10F82"/>
  </w:style>
  <w:style w:type="character" w:customStyle="1" w:styleId="10">
    <w:name w:val="标题 1 字符"/>
    <w:basedOn w:val="a0"/>
    <w:link w:val="1"/>
    <w:uiPriority w:val="9"/>
    <w:rsid w:val="00310F82"/>
    <w:rPr>
      <w:rFonts w:ascii="Times New Roman" w:eastAsia="黑体" w:hAnsi="Times New Roman" w:cs="Times New Roman"/>
      <w:b/>
      <w:kern w:val="0"/>
      <w:sz w:val="52"/>
      <w:szCs w:val="52"/>
    </w:rPr>
  </w:style>
  <w:style w:type="character" w:customStyle="1" w:styleId="20">
    <w:name w:val="标题 2 字符"/>
    <w:basedOn w:val="a0"/>
    <w:link w:val="2"/>
    <w:uiPriority w:val="9"/>
    <w:rsid w:val="00310F82"/>
    <w:rPr>
      <w:rFonts w:ascii="Times New Roman" w:eastAsia="黑体" w:hAnsi="Times New Roman" w:cs="Times New Roman"/>
      <w:b/>
      <w:kern w:val="0"/>
      <w:sz w:val="32"/>
      <w:szCs w:val="32"/>
    </w:rPr>
  </w:style>
  <w:style w:type="character" w:customStyle="1" w:styleId="30">
    <w:name w:val="标题 3 字符"/>
    <w:basedOn w:val="a0"/>
    <w:link w:val="3"/>
    <w:uiPriority w:val="9"/>
    <w:rsid w:val="00310F82"/>
    <w:rPr>
      <w:rFonts w:asciiTheme="minorEastAsia" w:hAnsiTheme="minorEastAsia" w:cs="Times New Roman"/>
      <w:b/>
      <w:sz w:val="24"/>
      <w:szCs w:val="24"/>
    </w:rPr>
  </w:style>
  <w:style w:type="character" w:customStyle="1" w:styleId="40">
    <w:name w:val="标题 4 字符"/>
    <w:basedOn w:val="a0"/>
    <w:link w:val="4"/>
    <w:uiPriority w:val="9"/>
    <w:rsid w:val="00310F82"/>
    <w:rPr>
      <w:rFonts w:asciiTheme="majorHAnsi" w:eastAsiaTheme="majorEastAsia" w:hAnsiTheme="majorHAnsi" w:cstheme="majorBidi"/>
      <w:b/>
      <w:bCs/>
      <w:sz w:val="24"/>
      <w:szCs w:val="24"/>
    </w:rPr>
  </w:style>
  <w:style w:type="character" w:customStyle="1" w:styleId="50">
    <w:name w:val="标题 5 字符"/>
    <w:basedOn w:val="a0"/>
    <w:link w:val="5"/>
    <w:uiPriority w:val="9"/>
    <w:semiHidden/>
    <w:rsid w:val="00310F82"/>
    <w:rPr>
      <w:b/>
      <w:bCs/>
      <w:sz w:val="28"/>
      <w:szCs w:val="28"/>
    </w:rPr>
  </w:style>
  <w:style w:type="character" w:customStyle="1" w:styleId="60">
    <w:name w:val="标题 6 字符"/>
    <w:basedOn w:val="a0"/>
    <w:link w:val="6"/>
    <w:uiPriority w:val="9"/>
    <w:rsid w:val="00310F82"/>
    <w:rPr>
      <w:rFonts w:ascii="宋体" w:hAnsi="宋体"/>
      <w:b/>
      <w:sz w:val="24"/>
      <w:szCs w:val="21"/>
    </w:rPr>
  </w:style>
  <w:style w:type="paragraph" w:styleId="a3">
    <w:name w:val="footer"/>
    <w:basedOn w:val="a"/>
    <w:link w:val="a4"/>
    <w:uiPriority w:val="99"/>
    <w:unhideWhenUsed/>
    <w:rsid w:val="00310F82"/>
    <w:pPr>
      <w:tabs>
        <w:tab w:val="center" w:pos="4153"/>
        <w:tab w:val="right" w:pos="8306"/>
      </w:tabs>
      <w:snapToGrid w:val="0"/>
      <w:jc w:val="left"/>
    </w:pPr>
    <w:rPr>
      <w:sz w:val="18"/>
      <w:szCs w:val="18"/>
    </w:rPr>
  </w:style>
  <w:style w:type="character" w:customStyle="1" w:styleId="a4">
    <w:name w:val="页脚 字符"/>
    <w:basedOn w:val="a0"/>
    <w:link w:val="a3"/>
    <w:uiPriority w:val="99"/>
    <w:rsid w:val="00310F82"/>
    <w:rPr>
      <w:sz w:val="18"/>
      <w:szCs w:val="18"/>
    </w:rPr>
  </w:style>
  <w:style w:type="character" w:customStyle="1" w:styleId="Char">
    <w:name w:val="页脚 Char"/>
    <w:basedOn w:val="a0"/>
    <w:uiPriority w:val="99"/>
    <w:rsid w:val="00310F82"/>
    <w:rPr>
      <w:sz w:val="18"/>
      <w:szCs w:val="18"/>
    </w:rPr>
  </w:style>
  <w:style w:type="paragraph" w:styleId="a5">
    <w:name w:val="Balloon Text"/>
    <w:basedOn w:val="a"/>
    <w:link w:val="a6"/>
    <w:uiPriority w:val="99"/>
    <w:semiHidden/>
    <w:unhideWhenUsed/>
    <w:rsid w:val="00310F82"/>
    <w:rPr>
      <w:sz w:val="18"/>
      <w:szCs w:val="18"/>
    </w:rPr>
  </w:style>
  <w:style w:type="character" w:customStyle="1" w:styleId="a6">
    <w:name w:val="批注框文本 字符"/>
    <w:basedOn w:val="a0"/>
    <w:link w:val="a5"/>
    <w:uiPriority w:val="99"/>
    <w:semiHidden/>
    <w:rsid w:val="00310F82"/>
    <w:rPr>
      <w:sz w:val="18"/>
      <w:szCs w:val="18"/>
    </w:rPr>
  </w:style>
  <w:style w:type="character" w:styleId="a7">
    <w:name w:val="Hyperlink"/>
    <w:basedOn w:val="a0"/>
    <w:uiPriority w:val="99"/>
    <w:unhideWhenUsed/>
    <w:rsid w:val="00310F82"/>
    <w:rPr>
      <w:color w:val="0563C1" w:themeColor="hyperlink"/>
      <w:u w:val="single"/>
    </w:rPr>
  </w:style>
  <w:style w:type="character" w:styleId="a8">
    <w:name w:val="footnote reference"/>
    <w:uiPriority w:val="99"/>
    <w:semiHidden/>
    <w:unhideWhenUsed/>
    <w:rsid w:val="00310F82"/>
    <w:rPr>
      <w:vertAlign w:val="superscript"/>
    </w:rPr>
  </w:style>
  <w:style w:type="paragraph" w:styleId="a9">
    <w:name w:val="Body Text"/>
    <w:basedOn w:val="a"/>
    <w:link w:val="aa"/>
    <w:uiPriority w:val="1"/>
    <w:qFormat/>
    <w:rsid w:val="00310F82"/>
    <w:pPr>
      <w:autoSpaceDE w:val="0"/>
      <w:autoSpaceDN w:val="0"/>
      <w:jc w:val="left"/>
    </w:pPr>
    <w:rPr>
      <w:rFonts w:ascii="Noto Sans Mono CJK JP Regular" w:eastAsia="Noto Sans Mono CJK JP Regular" w:hAnsi="Noto Sans Mono CJK JP Regular" w:cs="Noto Sans Mono CJK JP Regular"/>
      <w:kern w:val="0"/>
      <w:sz w:val="28"/>
      <w:szCs w:val="28"/>
      <w:lang w:val="zh-CN" w:bidi="zh-CN"/>
    </w:rPr>
  </w:style>
  <w:style w:type="character" w:customStyle="1" w:styleId="aa">
    <w:name w:val="正文文本 字符"/>
    <w:basedOn w:val="a0"/>
    <w:link w:val="a9"/>
    <w:uiPriority w:val="1"/>
    <w:rsid w:val="00310F82"/>
    <w:rPr>
      <w:rFonts w:ascii="Noto Sans Mono CJK JP Regular" w:eastAsia="Noto Sans Mono CJK JP Regular" w:hAnsi="Noto Sans Mono CJK JP Regular" w:cs="Noto Sans Mono CJK JP Regular"/>
      <w:kern w:val="0"/>
      <w:sz w:val="28"/>
      <w:szCs w:val="28"/>
      <w:lang w:val="zh-CN" w:bidi="zh-CN"/>
    </w:rPr>
  </w:style>
  <w:style w:type="paragraph" w:customStyle="1" w:styleId="11">
    <w:name w:val="标题1"/>
    <w:basedOn w:val="a"/>
    <w:qFormat/>
    <w:rsid w:val="00310F82"/>
    <w:pPr>
      <w:widowControl/>
      <w:spacing w:before="100" w:beforeAutospacing="1" w:after="100" w:afterAutospacing="1" w:line="375" w:lineRule="atLeast"/>
      <w:jc w:val="left"/>
    </w:pPr>
    <w:rPr>
      <w:rFonts w:ascii="宋体" w:eastAsia="宋体" w:hAnsi="宋体" w:cs="宋体"/>
      <w:kern w:val="0"/>
      <w:sz w:val="24"/>
      <w:szCs w:val="24"/>
    </w:rPr>
  </w:style>
  <w:style w:type="paragraph" w:styleId="ab">
    <w:name w:val="Normal (Web)"/>
    <w:basedOn w:val="a"/>
    <w:uiPriority w:val="99"/>
    <w:unhideWhenUsed/>
    <w:qFormat/>
    <w:rsid w:val="00310F82"/>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0"/>
    <w:rsid w:val="00310F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0">
    <w:name w:val="HTML 预设格式 字符"/>
    <w:basedOn w:val="a0"/>
    <w:link w:val="HTML"/>
    <w:rsid w:val="00310F82"/>
    <w:rPr>
      <w:rFonts w:ascii="宋体" w:eastAsia="宋体" w:hAnsi="宋体" w:cs="Times New Roman"/>
      <w:kern w:val="0"/>
      <w:sz w:val="24"/>
      <w:szCs w:val="24"/>
      <w:lang w:val="x-none" w:eastAsia="x-none"/>
    </w:rPr>
  </w:style>
  <w:style w:type="paragraph" w:styleId="ac">
    <w:name w:val="header"/>
    <w:basedOn w:val="a"/>
    <w:link w:val="ad"/>
    <w:uiPriority w:val="99"/>
    <w:unhideWhenUsed/>
    <w:rsid w:val="00310F82"/>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310F82"/>
    <w:rPr>
      <w:sz w:val="18"/>
      <w:szCs w:val="18"/>
    </w:rPr>
  </w:style>
  <w:style w:type="paragraph" w:styleId="TOC">
    <w:name w:val="TOC Heading"/>
    <w:basedOn w:val="1"/>
    <w:next w:val="a"/>
    <w:uiPriority w:val="39"/>
    <w:unhideWhenUsed/>
    <w:qFormat/>
    <w:rsid w:val="00310F82"/>
    <w:pPr>
      <w:keepNext/>
      <w:keepLines/>
      <w:widowControl/>
      <w:spacing w:beforeLines="0" w:afterLines="0" w:after="0" w:line="276" w:lineRule="auto"/>
      <w:jc w:val="left"/>
      <w:outlineLvl w:val="9"/>
    </w:pPr>
    <w:rPr>
      <w:rFonts w:asciiTheme="majorHAnsi" w:eastAsiaTheme="majorEastAsia" w:hAnsiTheme="majorHAnsi" w:cstheme="majorBidi"/>
      <w:bCs/>
      <w:color w:val="2E74B5" w:themeColor="accent1" w:themeShade="BF"/>
      <w:sz w:val="28"/>
      <w:szCs w:val="28"/>
    </w:rPr>
  </w:style>
  <w:style w:type="paragraph" w:styleId="12">
    <w:name w:val="toc 1"/>
    <w:basedOn w:val="a"/>
    <w:next w:val="a"/>
    <w:autoRedefine/>
    <w:uiPriority w:val="39"/>
    <w:unhideWhenUsed/>
    <w:qFormat/>
    <w:rsid w:val="00310F82"/>
    <w:pPr>
      <w:tabs>
        <w:tab w:val="right" w:leader="dot" w:pos="8303"/>
      </w:tabs>
    </w:pPr>
    <w:rPr>
      <w:b/>
      <w:noProof/>
      <w:szCs w:val="21"/>
    </w:rPr>
  </w:style>
  <w:style w:type="paragraph" w:styleId="21">
    <w:name w:val="toc 2"/>
    <w:basedOn w:val="a"/>
    <w:next w:val="a"/>
    <w:autoRedefine/>
    <w:uiPriority w:val="39"/>
    <w:unhideWhenUsed/>
    <w:qFormat/>
    <w:rsid w:val="00310F82"/>
    <w:pPr>
      <w:tabs>
        <w:tab w:val="right" w:leader="dot" w:pos="8302"/>
      </w:tabs>
      <w:ind w:leftChars="200" w:left="420"/>
    </w:pPr>
    <w:rPr>
      <w:szCs w:val="21"/>
    </w:rPr>
  </w:style>
  <w:style w:type="paragraph" w:styleId="31">
    <w:name w:val="toc 3"/>
    <w:basedOn w:val="a"/>
    <w:next w:val="a"/>
    <w:autoRedefine/>
    <w:uiPriority w:val="39"/>
    <w:unhideWhenUsed/>
    <w:qFormat/>
    <w:rsid w:val="00310F82"/>
    <w:pPr>
      <w:ind w:leftChars="400" w:left="840"/>
    </w:pPr>
    <w:rPr>
      <w:szCs w:val="21"/>
    </w:rPr>
  </w:style>
  <w:style w:type="paragraph" w:styleId="ae">
    <w:name w:val="Date"/>
    <w:basedOn w:val="a"/>
    <w:next w:val="a"/>
    <w:link w:val="af"/>
    <w:uiPriority w:val="99"/>
    <w:semiHidden/>
    <w:unhideWhenUsed/>
    <w:rsid w:val="00310F82"/>
    <w:pPr>
      <w:ind w:leftChars="2500" w:left="100"/>
    </w:pPr>
    <w:rPr>
      <w:szCs w:val="21"/>
    </w:rPr>
  </w:style>
  <w:style w:type="character" w:customStyle="1" w:styleId="af">
    <w:name w:val="日期 字符"/>
    <w:basedOn w:val="a0"/>
    <w:link w:val="ae"/>
    <w:uiPriority w:val="99"/>
    <w:semiHidden/>
    <w:rsid w:val="00310F82"/>
    <w:rPr>
      <w:szCs w:val="21"/>
    </w:rPr>
  </w:style>
  <w:style w:type="paragraph" w:styleId="41">
    <w:name w:val="toc 4"/>
    <w:basedOn w:val="a"/>
    <w:next w:val="a"/>
    <w:autoRedefine/>
    <w:uiPriority w:val="39"/>
    <w:unhideWhenUsed/>
    <w:rsid w:val="00310F82"/>
    <w:pPr>
      <w:ind w:leftChars="600" w:left="1260"/>
    </w:pPr>
  </w:style>
  <w:style w:type="paragraph" w:styleId="51">
    <w:name w:val="toc 5"/>
    <w:basedOn w:val="a"/>
    <w:next w:val="a"/>
    <w:autoRedefine/>
    <w:uiPriority w:val="39"/>
    <w:unhideWhenUsed/>
    <w:rsid w:val="00310F82"/>
    <w:pPr>
      <w:ind w:leftChars="800" w:left="1680"/>
    </w:pPr>
  </w:style>
  <w:style w:type="paragraph" w:styleId="61">
    <w:name w:val="toc 6"/>
    <w:basedOn w:val="a"/>
    <w:next w:val="a"/>
    <w:autoRedefine/>
    <w:uiPriority w:val="39"/>
    <w:unhideWhenUsed/>
    <w:rsid w:val="00310F82"/>
    <w:pPr>
      <w:ind w:leftChars="1000" w:left="2100"/>
    </w:pPr>
  </w:style>
  <w:style w:type="paragraph" w:styleId="7">
    <w:name w:val="toc 7"/>
    <w:basedOn w:val="a"/>
    <w:next w:val="a"/>
    <w:autoRedefine/>
    <w:uiPriority w:val="39"/>
    <w:unhideWhenUsed/>
    <w:rsid w:val="00310F82"/>
    <w:pPr>
      <w:ind w:leftChars="1200" w:left="2520"/>
    </w:pPr>
  </w:style>
  <w:style w:type="paragraph" w:styleId="8">
    <w:name w:val="toc 8"/>
    <w:basedOn w:val="a"/>
    <w:next w:val="a"/>
    <w:autoRedefine/>
    <w:uiPriority w:val="39"/>
    <w:unhideWhenUsed/>
    <w:rsid w:val="00310F82"/>
    <w:pPr>
      <w:ind w:leftChars="1400" w:left="2940"/>
    </w:pPr>
  </w:style>
  <w:style w:type="paragraph" w:styleId="9">
    <w:name w:val="toc 9"/>
    <w:basedOn w:val="a"/>
    <w:next w:val="a"/>
    <w:autoRedefine/>
    <w:uiPriority w:val="39"/>
    <w:unhideWhenUsed/>
    <w:rsid w:val="00310F82"/>
    <w:pPr>
      <w:ind w:leftChars="1600" w:left="3360"/>
    </w:pPr>
  </w:style>
  <w:style w:type="character" w:styleId="af0">
    <w:name w:val="annotation reference"/>
    <w:basedOn w:val="a0"/>
    <w:uiPriority w:val="99"/>
    <w:semiHidden/>
    <w:unhideWhenUsed/>
    <w:rsid w:val="00310F82"/>
    <w:rPr>
      <w:sz w:val="21"/>
      <w:szCs w:val="21"/>
    </w:rPr>
  </w:style>
  <w:style w:type="paragraph" w:styleId="af1">
    <w:name w:val="annotation text"/>
    <w:basedOn w:val="a"/>
    <w:link w:val="af2"/>
    <w:uiPriority w:val="99"/>
    <w:semiHidden/>
    <w:unhideWhenUsed/>
    <w:rsid w:val="00310F82"/>
    <w:pPr>
      <w:jc w:val="left"/>
    </w:pPr>
    <w:rPr>
      <w:szCs w:val="21"/>
    </w:rPr>
  </w:style>
  <w:style w:type="character" w:customStyle="1" w:styleId="af2">
    <w:name w:val="批注文字 字符"/>
    <w:basedOn w:val="a0"/>
    <w:link w:val="af1"/>
    <w:uiPriority w:val="99"/>
    <w:semiHidden/>
    <w:rsid w:val="00310F82"/>
    <w:rPr>
      <w:szCs w:val="21"/>
    </w:rPr>
  </w:style>
  <w:style w:type="paragraph" w:styleId="af3">
    <w:name w:val="annotation subject"/>
    <w:basedOn w:val="af1"/>
    <w:next w:val="af1"/>
    <w:link w:val="af4"/>
    <w:uiPriority w:val="99"/>
    <w:semiHidden/>
    <w:unhideWhenUsed/>
    <w:rsid w:val="00310F82"/>
    <w:rPr>
      <w:b/>
      <w:bCs/>
    </w:rPr>
  </w:style>
  <w:style w:type="character" w:customStyle="1" w:styleId="af4">
    <w:name w:val="批注主题 字符"/>
    <w:basedOn w:val="af2"/>
    <w:link w:val="af3"/>
    <w:uiPriority w:val="99"/>
    <w:semiHidden/>
    <w:rsid w:val="00310F82"/>
    <w:rPr>
      <w:b/>
      <w:bCs/>
      <w:szCs w:val="21"/>
    </w:rPr>
  </w:style>
  <w:style w:type="paragraph" w:styleId="af5">
    <w:name w:val="List Paragraph"/>
    <w:basedOn w:val="a"/>
    <w:uiPriority w:val="34"/>
    <w:qFormat/>
    <w:rsid w:val="00310F82"/>
    <w:pPr>
      <w:ind w:firstLineChars="200" w:firstLine="420"/>
    </w:pPr>
    <w:rPr>
      <w:szCs w:val="21"/>
    </w:rPr>
  </w:style>
  <w:style w:type="character" w:customStyle="1" w:styleId="Char0">
    <w:name w:val="批注文字 Char"/>
    <w:uiPriority w:val="99"/>
    <w:semiHidden/>
    <w:rsid w:val="00310F82"/>
    <w:rPr>
      <w:kern w:val="2"/>
      <w:sz w:val="21"/>
    </w:rPr>
  </w:style>
  <w:style w:type="paragraph" w:styleId="af6">
    <w:name w:val="Revision"/>
    <w:hidden/>
    <w:uiPriority w:val="99"/>
    <w:semiHidden/>
    <w:rsid w:val="00310F82"/>
    <w:rPr>
      <w:szCs w:val="21"/>
    </w:rPr>
  </w:style>
  <w:style w:type="character" w:styleId="af7">
    <w:name w:val="FollowedHyperlink"/>
    <w:basedOn w:val="a0"/>
    <w:uiPriority w:val="99"/>
    <w:semiHidden/>
    <w:unhideWhenUsed/>
    <w:rsid w:val="00310F82"/>
    <w:rPr>
      <w:color w:val="954F72" w:themeColor="followedHyperlink"/>
      <w:u w:val="single"/>
    </w:rPr>
  </w:style>
  <w:style w:type="character" w:customStyle="1" w:styleId="2Char">
    <w:name w:val="样式2 Char"/>
    <w:link w:val="22"/>
    <w:rsid w:val="00310F82"/>
    <w:rPr>
      <w:sz w:val="30"/>
    </w:rPr>
  </w:style>
  <w:style w:type="paragraph" w:customStyle="1" w:styleId="22">
    <w:name w:val="样式2"/>
    <w:basedOn w:val="1"/>
    <w:link w:val="2Char"/>
    <w:rsid w:val="00310F82"/>
    <w:pPr>
      <w:widowControl/>
      <w:spacing w:beforeLines="0" w:before="100" w:beforeAutospacing="1" w:afterLines="0" w:after="100" w:afterAutospacing="1"/>
    </w:pPr>
    <w:rPr>
      <w:rFonts w:asciiTheme="minorHAnsi" w:eastAsiaTheme="minorEastAsia" w:hAnsiTheme="minorHAnsi" w:cstheme="minorBidi"/>
      <w:b w:val="0"/>
      <w:kern w:val="2"/>
      <w:sz w:val="30"/>
      <w:szCs w:val="22"/>
    </w:rPr>
  </w:style>
  <w:style w:type="paragraph" w:styleId="af8">
    <w:name w:val="Title"/>
    <w:basedOn w:val="a"/>
    <w:next w:val="a"/>
    <w:link w:val="af9"/>
    <w:qFormat/>
    <w:rsid w:val="00310F82"/>
    <w:pPr>
      <w:spacing w:before="240" w:after="60"/>
      <w:jc w:val="center"/>
      <w:outlineLvl w:val="0"/>
    </w:pPr>
    <w:rPr>
      <w:rFonts w:ascii="Calibri Light" w:eastAsia="宋体" w:hAnsi="Calibri Light" w:cs="Times New Roman"/>
      <w:b/>
      <w:bCs/>
      <w:sz w:val="32"/>
      <w:szCs w:val="32"/>
    </w:rPr>
  </w:style>
  <w:style w:type="character" w:customStyle="1" w:styleId="af9">
    <w:name w:val="标题 字符"/>
    <w:basedOn w:val="a0"/>
    <w:link w:val="af8"/>
    <w:rsid w:val="00310F82"/>
    <w:rPr>
      <w:rFonts w:ascii="Calibri Light" w:eastAsia="宋体" w:hAnsi="Calibri Light"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960</Words>
  <Characters>5472</Characters>
  <Application>Microsoft Office Word</Application>
  <DocSecurity>0</DocSecurity>
  <Lines>45</Lines>
  <Paragraphs>12</Paragraphs>
  <ScaleCrop>false</ScaleCrop>
  <Company>中国石油大学</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2018-10-17T05:52:00Z</dcterms:created>
</cp:coreProperties>
</file>