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62092">
      <w:pPr>
        <w:spacing w:line="300" w:lineRule="auto"/>
        <w:jc w:val="center"/>
        <w:rPr>
          <w:rFonts w:ascii="方正小标宋简体" w:hAnsi="方正小标宋简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/>
          <w:bCs/>
          <w:sz w:val="44"/>
          <w:szCs w:val="44"/>
        </w:rPr>
        <w:t>关于组织开展第二届全国大学生职业规划大赛西南财经大学</w:t>
      </w:r>
      <w:r>
        <w:rPr>
          <w:rFonts w:hint="eastAsia" w:ascii="方正小标宋简体" w:hAnsi="方正小标宋简体" w:eastAsia="方正小标宋简体" w:cs="黑体"/>
          <w:b/>
          <w:bCs/>
          <w:sz w:val="44"/>
          <w:szCs w:val="44"/>
          <w:lang w:val="en-US" w:eastAsia="zh-CN"/>
        </w:rPr>
        <w:t>会计学院院</w:t>
      </w:r>
      <w:r>
        <w:rPr>
          <w:rFonts w:hint="eastAsia" w:ascii="方正小标宋简体" w:hAnsi="方正小标宋简体" w:eastAsia="方正小标宋简体" w:cs="黑体"/>
          <w:b/>
          <w:bCs/>
          <w:sz w:val="44"/>
          <w:szCs w:val="44"/>
        </w:rPr>
        <w:t>赛的通知</w:t>
      </w:r>
    </w:p>
    <w:p w14:paraId="7328BEB7">
      <w:pPr>
        <w:spacing w:line="300" w:lineRule="auto"/>
        <w:jc w:val="left"/>
        <w:rPr>
          <w:rFonts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中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各位同学</w:t>
      </w:r>
      <w:r>
        <w:rPr>
          <w:rFonts w:hint="eastAsia"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CC1B01E">
      <w:pPr>
        <w:spacing w:line="300" w:lineRule="auto"/>
        <w:ind w:firstLine="640" w:firstLineChars="200"/>
        <w:jc w:val="left"/>
        <w:rPr>
          <w:rFonts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党中央、国务院决策部署，落实《国务院关于印发“十四五”就业促进规划的通知》精神，增强大学生生涯规划意识，提升学生就业能力，促进毕业生高质量充分就业，根据《教育部关于举办第二届全国大学生职业规划大赛的通知》要求，现就第二届全国大学生职业规划大赛西南财经大学</w:t>
      </w:r>
      <w:r>
        <w:rPr>
          <w:rFonts w:hint="eastAsia" w:ascii="仿宋" w:hAnsi="仿宋" w:eastAsia="仿宋" w:cs="华文中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会计学院院级</w:t>
      </w:r>
      <w:r>
        <w:rPr>
          <w:rFonts w:hint="eastAsia"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选拔事宜通知如下。</w:t>
      </w:r>
    </w:p>
    <w:p w14:paraId="468BC1CB">
      <w:pPr>
        <w:spacing w:line="300" w:lineRule="auto"/>
        <w:ind w:firstLine="643" w:firstLineChars="200"/>
        <w:jc w:val="left"/>
        <w:rPr>
          <w:rFonts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一、大赛主题</w:t>
      </w:r>
    </w:p>
    <w:p w14:paraId="5C06E737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筑梦青春志在四方，规划启航职引未来。</w:t>
      </w:r>
    </w:p>
    <w:p w14:paraId="2AAD5144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二、大赛主办</w:t>
      </w:r>
    </w:p>
    <w:p w14:paraId="660611C0">
      <w:pPr>
        <w:pStyle w:val="12"/>
        <w:widowControl/>
        <w:numPr>
          <w:ilvl w:val="255"/>
          <w:numId w:val="0"/>
        </w:numPr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大赛由教育部、湖南省人民政府共同主办。</w:t>
      </w:r>
      <w:r>
        <w:rPr>
          <w:rFonts w:hint="eastAsia" w:ascii="仿宋" w:hAnsi="仿宋" w:eastAsia="仿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西南财经大学校赛由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学生职业规划与就业指导中心、教务处、研究生院联合主办，大赛组委会秘书处设在学生职业规划与就业指导中心。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院赛由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西南财经大学会计学院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承办。</w:t>
      </w:r>
    </w:p>
    <w:p w14:paraId="4C976B53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三、大赛内容</w:t>
      </w:r>
    </w:p>
    <w:p w14:paraId="2EFF60A0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大赛分为成长赛道和就业赛道。</w:t>
      </w:r>
    </w:p>
    <w:p w14:paraId="68914EEF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（一）成长赛道</w:t>
      </w:r>
    </w:p>
    <w:p w14:paraId="5DF3C805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面向本科非毕业年级学生，考察其树立生涯发展理念并合理设定职业目标、围绕实现目标持续行动并不断调整的成长过程，通过学习实践提升综合素质和专业能力，体现正确的择业就业观念。</w:t>
      </w:r>
    </w:p>
    <w:p w14:paraId="62836F92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（二）就业赛道</w:t>
      </w:r>
    </w:p>
    <w:p w14:paraId="0453AB10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面向本科毕业年级学生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不含已通过推免等确定升学的毕业年级学生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和全体研究生，考察其求职实战能力，对照目标职业及岗位要求，个人综合素质和专业能力等方面的契合度，个人发展路径和就业市场需求的适应度。</w:t>
      </w:r>
    </w:p>
    <w:p w14:paraId="2D6AC9CB">
      <w:pPr>
        <w:pStyle w:val="12"/>
        <w:widowControl/>
        <w:numPr>
          <w:ilvl w:val="0"/>
          <w:numId w:val="1"/>
        </w:numPr>
        <w:adjustRightInd w:val="0"/>
        <w:spacing w:beforeAutospacing="0" w:afterAutospacing="0" w:line="300" w:lineRule="auto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院赛</w:t>
      </w: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赛制</w:t>
      </w:r>
    </w:p>
    <w:p w14:paraId="73EA2C29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（一）院赛由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会计学院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负责组织，基础推荐名额为6人（成长赛道2人，就业赛道本科组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人，就业赛道研究生组2人）；院赛报名参赛学生人数达学生总人数30%（含）以上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在基础推荐名额上增加3个名额（各赛道均增加一个名额）。</w:t>
      </w:r>
    </w:p>
    <w:p w14:paraId="6274CAB7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院赛将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内外专家担任评委，获奖选手将择优推荐代表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后续比赛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5FF61CA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五、赛程安排</w:t>
      </w:r>
    </w:p>
    <w:p w14:paraId="2A6F60E2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（一）院赛组织</w:t>
      </w:r>
    </w:p>
    <w:p w14:paraId="7F5568D6">
      <w:pPr>
        <w:pStyle w:val="12"/>
        <w:widowControl/>
        <w:adjustRightInd w:val="0"/>
        <w:spacing w:beforeAutospacing="0" w:afterAutospacing="0" w:line="300" w:lineRule="auto"/>
        <w:ind w:firstLine="800" w:firstLineChars="25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1.网上报名：院赛选手通过全国大学生职业规划大赛平台（zgs.chsi.com.cn）报名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F5D08E">
      <w:pPr>
        <w:pStyle w:val="12"/>
        <w:widowControl/>
        <w:numPr>
          <w:ilvl w:val="255"/>
          <w:numId w:val="0"/>
        </w:numPr>
        <w:adjustRightInd w:val="0"/>
        <w:spacing w:beforeAutospacing="0" w:afterAutospacing="0" w:line="300" w:lineRule="auto"/>
        <w:ind w:firstLine="800" w:firstLineChars="25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选手参赛要求</w:t>
      </w:r>
    </w:p>
    <w:p w14:paraId="160555CF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（1）参赛选手须为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会计学院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在校学生。每名选手结合自身条件选择符合要求的一个赛道报名参赛。</w:t>
      </w:r>
    </w:p>
    <w:p w14:paraId="4F2912D2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（2）参赛选手应按要求在大赛平台准确填写报名信息，提交材料应坚持真实性原则，不得含有违法违规内容，否则将被取消参赛资格及所获奖项，并承担相应法律责任。</w:t>
      </w:r>
    </w:p>
    <w:p w14:paraId="479B5FCB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应认真做好院赛参赛选手资格审查和参赛材料审查工作，确保符合相关要求。</w:t>
      </w:r>
    </w:p>
    <w:p w14:paraId="07DD4015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院赛赛程</w:t>
      </w:r>
    </w:p>
    <w:p w14:paraId="3018C5F9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参赛学生按要求提交参赛材料，学院邀请专业评委对书面材料进行评审，每个赛道推选出10-15位同学参与院赛答辩。</w:t>
      </w:r>
    </w:p>
    <w:p w14:paraId="2AB16DBA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材料提交时间：11月4日至11月10日</w:t>
      </w:r>
    </w:p>
    <w:p w14:paraId="62C26F5C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材料评审时间：11月11日-11月14日</w:t>
      </w:r>
    </w:p>
    <w:p w14:paraId="6DAB3B16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院赛答辩时间：11月19日</w:t>
      </w:r>
    </w:p>
    <w:p w14:paraId="5B58029E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校赛复赛、决赛具体安排另行通知。</w:t>
      </w:r>
    </w:p>
    <w:p w14:paraId="2D011CC9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六、参赛材料</w:t>
      </w:r>
    </w:p>
    <w:p w14:paraId="31B5F7C2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（一）成长赛道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大一到大三学生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F4CB94F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生涯发展报告：介绍设定职业目标的过程；实现职业目标的具体行动和成效；职业目标及行动的动态调整等（PDF格式，文字不超过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字，图表不超过 5 张）。</w:t>
      </w:r>
    </w:p>
    <w:p w14:paraId="24B2D277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生涯发展展示：PPT格式，不超过 50MB；可加入视频。</w:t>
      </w:r>
    </w:p>
    <w:p w14:paraId="1A93F97E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（二）就业赛道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大四学生</w:t>
      </w:r>
      <w:bookmarkStart w:id="0" w:name="_GoBack"/>
      <w:bookmarkEnd w:id="0"/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及研究生</w:t>
      </w:r>
      <w:r>
        <w:rPr>
          <w:rFonts w:hint="eastAsia" w:ascii="楷体" w:hAnsi="楷体" w:eastAsia="楷体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4373C5D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求职简历（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PDF格式）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241EF85">
      <w:pPr>
        <w:pStyle w:val="12"/>
        <w:widowControl/>
        <w:tabs>
          <w:tab w:val="left" w:pos="420"/>
        </w:tabs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求职综合展示（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PPT格式，不超过50MB；可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入视频）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253025A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辅助证明材料，包括实践、实习、获奖等证明材料（PDF格式，整合为单个文件，不超过5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0MB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703969C7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比赛选手在大赛平台（网址：zgs.chsi.com.cn）提交以上参赛材料，同时鼓励学生积极使用西南财经大学智慧就业平台AI简历/面试系统辅助参赛（https://job3.swufe.edu.cn/airesume）。</w:t>
      </w:r>
    </w:p>
    <w:p w14:paraId="553F98A7">
      <w:pPr>
        <w:pStyle w:val="12"/>
        <w:widowControl/>
        <w:adjustRightInd w:val="0"/>
        <w:spacing w:beforeAutospacing="0" w:afterAutospacing="0" w:line="300" w:lineRule="auto"/>
        <w:ind w:firstLine="489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七、奖项设置</w:t>
      </w:r>
    </w:p>
    <w:p w14:paraId="0310BC1B">
      <w:pPr>
        <w:pStyle w:val="12"/>
        <w:widowControl/>
        <w:adjustRightInd w:val="0"/>
        <w:spacing w:beforeAutospacing="0" w:afterAutospacing="0" w:line="300" w:lineRule="auto"/>
        <w:ind w:firstLine="640" w:firstLineChars="200"/>
        <w:rPr>
          <w:rFonts w:ascii="仿宋" w:hAnsi="仿宋" w:eastAsia="仿宋" w:cs="仿宋"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按成长赛道、就业赛道本科组、就业赛道研究生组分别设置，每个赛道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一等奖</w:t>
      </w:r>
      <w:r>
        <w:rPr>
          <w:rFonts w:ascii="仿宋" w:hAnsi="仿宋" w:eastAsia="仿宋" w:cs="仿宋"/>
          <w:color w:val="424242"/>
          <w:sz w:val="32"/>
          <w:szCs w:val="32"/>
        </w:rPr>
        <w:t>2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名；二等奖</w:t>
      </w:r>
      <w:r>
        <w:rPr>
          <w:rFonts w:ascii="仿宋" w:hAnsi="仿宋" w:eastAsia="仿宋" w:cs="仿宋"/>
          <w:color w:val="424242"/>
          <w:sz w:val="32"/>
          <w:szCs w:val="32"/>
        </w:rPr>
        <w:t>3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名，三等奖</w:t>
      </w:r>
      <w:r>
        <w:rPr>
          <w:rFonts w:ascii="仿宋" w:hAnsi="仿宋" w:eastAsia="仿宋" w:cs="仿宋"/>
          <w:color w:val="424242"/>
          <w:sz w:val="32"/>
          <w:szCs w:val="32"/>
        </w:rPr>
        <w:t>5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名；获奖者颁发荣誉证书。</w:t>
      </w:r>
    </w:p>
    <w:p w14:paraId="61000F4A">
      <w:pPr>
        <w:pStyle w:val="12"/>
        <w:widowControl/>
        <w:adjustRightInd w:val="0"/>
        <w:spacing w:beforeAutospacing="0" w:afterAutospacing="0" w:line="300" w:lineRule="auto"/>
        <w:ind w:firstLine="489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八、其他事项</w:t>
      </w:r>
    </w:p>
    <w:p w14:paraId="15E55F11">
      <w:pPr>
        <w:spacing w:line="300" w:lineRule="auto"/>
        <w:jc w:val="left"/>
        <w:rPr>
          <w:rFonts w:hint="eastAsia" w:ascii="仿宋" w:hAnsi="仿宋" w:eastAsia="仿宋" w:cs="仿宋"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4242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1.比赛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联系人：</w:t>
      </w:r>
    </w:p>
    <w:p w14:paraId="7B1CE218">
      <w:pPr>
        <w:spacing w:line="300" w:lineRule="auto"/>
        <w:ind w:firstLine="420"/>
        <w:jc w:val="left"/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陈秋达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 xml:space="preserve"> 电话：87092</w:t>
      </w: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169</w:t>
      </w:r>
    </w:p>
    <w:p w14:paraId="5B6DB74E">
      <w:pPr>
        <w:spacing w:line="300" w:lineRule="auto"/>
        <w:ind w:firstLine="420"/>
        <w:jc w:val="left"/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张宇阁 电话：87081879</w:t>
      </w:r>
    </w:p>
    <w:p w14:paraId="77FD3200">
      <w:pPr>
        <w:spacing w:line="300" w:lineRule="auto"/>
        <w:ind w:firstLine="420"/>
        <w:jc w:val="left"/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  <w:t>王子莹（学生）13976904320</w:t>
      </w:r>
    </w:p>
    <w:p w14:paraId="6246ED65">
      <w:pPr>
        <w:spacing w:line="300" w:lineRule="auto"/>
        <w:ind w:firstLine="420"/>
        <w:jc w:val="left"/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  <w:t>张晋维（学生）13880134513</w:t>
      </w:r>
    </w:p>
    <w:p w14:paraId="2F246CE9">
      <w:pPr>
        <w:spacing w:line="300" w:lineRule="auto"/>
        <w:ind w:firstLine="420"/>
        <w:jc w:val="left"/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  <w:t>姚  欣（学生）19855900603</w:t>
      </w:r>
    </w:p>
    <w:p w14:paraId="0AC00F25">
      <w:pPr>
        <w:numPr>
          <w:ilvl w:val="0"/>
          <w:numId w:val="2"/>
        </w:numPr>
        <w:spacing w:line="300" w:lineRule="auto"/>
        <w:ind w:firstLine="420"/>
        <w:jc w:val="left"/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答疑QQ群：857239808</w:t>
      </w:r>
    </w:p>
    <w:p w14:paraId="0B42FF03">
      <w:pPr>
        <w:spacing w:line="300" w:lineRule="auto"/>
        <w:jc w:val="left"/>
        <w:rPr>
          <w:rFonts w:ascii="仿宋" w:hAnsi="仿宋" w:eastAsia="仿宋" w:cs="仿宋"/>
          <w:color w:val="424242"/>
          <w:sz w:val="32"/>
          <w:szCs w:val="32"/>
        </w:rPr>
      </w:pPr>
    </w:p>
    <w:p w14:paraId="2ED37D22">
      <w:pPr>
        <w:pStyle w:val="12"/>
        <w:widowControl/>
        <w:adjustRightInd w:val="0"/>
        <w:spacing w:beforeAutospacing="0" w:afterAutospacing="0" w:line="300" w:lineRule="auto"/>
        <w:ind w:firstLine="643" w:firstLineChars="200"/>
        <w:rPr>
          <w:rFonts w:ascii="楷体" w:hAnsi="楷体" w:eastAsia="楷体" w:cs="仿宋"/>
          <w:b/>
          <w:bCs/>
          <w:color w:val="424242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color w:val="424242"/>
          <w:sz w:val="32"/>
          <w:szCs w:val="32"/>
        </w:rPr>
        <w:t>附件</w:t>
      </w:r>
      <w:r>
        <w:rPr>
          <w:rFonts w:ascii="楷体" w:hAnsi="楷体" w:eastAsia="楷体" w:cs="仿宋"/>
          <w:b/>
          <w:bCs/>
          <w:color w:val="424242"/>
          <w:sz w:val="32"/>
          <w:szCs w:val="32"/>
        </w:rPr>
        <w:t>:</w:t>
      </w:r>
      <w:r>
        <w:rPr>
          <w:rFonts w:hint="eastAsia" w:ascii="楷体" w:hAnsi="楷体" w:eastAsia="楷体" w:cs="仿宋"/>
          <w:b/>
          <w:bCs/>
          <w:color w:val="424242"/>
          <w:sz w:val="32"/>
          <w:szCs w:val="32"/>
        </w:rPr>
        <w:t>《教育部关于举办第二届大学生职业规划大赛的通知》</w:t>
      </w:r>
    </w:p>
    <w:p w14:paraId="240135B2">
      <w:pPr>
        <w:spacing w:line="300" w:lineRule="auto"/>
        <w:ind w:firstLine="640" w:firstLineChars="200"/>
        <w:jc w:val="right"/>
        <w:rPr>
          <w:rFonts w:ascii="仿宋" w:hAnsi="仿宋" w:eastAsia="仿宋" w:cs="仿宋"/>
          <w:color w:val="424242"/>
          <w:sz w:val="32"/>
          <w:szCs w:val="32"/>
        </w:rPr>
      </w:pPr>
    </w:p>
    <w:p w14:paraId="32888D86">
      <w:pPr>
        <w:spacing w:line="300" w:lineRule="auto"/>
        <w:ind w:firstLine="640" w:firstLineChars="200"/>
        <w:jc w:val="right"/>
        <w:rPr>
          <w:rFonts w:hint="default" w:ascii="仿宋" w:hAnsi="仿宋" w:eastAsia="仿宋" w:cs="仿宋"/>
          <w:color w:val="4242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西南财经大学会计学院</w:t>
      </w:r>
    </w:p>
    <w:p w14:paraId="46173876">
      <w:pPr>
        <w:spacing w:line="300" w:lineRule="auto"/>
        <w:ind w:firstLine="640" w:firstLineChars="200"/>
        <w:jc w:val="right"/>
        <w:rPr>
          <w:rFonts w:ascii="仿宋" w:hAnsi="仿宋" w:eastAsia="仿宋" w:cs="仿宋"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sz w:val="32"/>
          <w:szCs w:val="32"/>
        </w:rPr>
        <w:t>2024年</w:t>
      </w: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月</w:t>
      </w:r>
      <w:r>
        <w:rPr>
          <w:rFonts w:hint="eastAsia" w:ascii="仿宋" w:hAnsi="仿宋" w:eastAsia="仿宋" w:cs="仿宋"/>
          <w:color w:val="42424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424242"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57BAE"/>
    <w:multiLevelType w:val="multilevel"/>
    <w:tmpl w:val="02257BAE"/>
    <w:lvl w:ilvl="0" w:tentative="0">
      <w:start w:val="4"/>
      <w:numFmt w:val="japaneseCounting"/>
      <w:lvlText w:val="%1、"/>
      <w:lvlJc w:val="left"/>
      <w:pPr>
        <w:ind w:left="137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33" w:hanging="440"/>
      </w:pPr>
    </w:lvl>
    <w:lvl w:ilvl="2" w:tentative="0">
      <w:start w:val="1"/>
      <w:numFmt w:val="lowerRoman"/>
      <w:lvlText w:val="%3."/>
      <w:lvlJc w:val="right"/>
      <w:pPr>
        <w:ind w:left="1973" w:hanging="440"/>
      </w:pPr>
    </w:lvl>
    <w:lvl w:ilvl="3" w:tentative="0">
      <w:start w:val="1"/>
      <w:numFmt w:val="decimal"/>
      <w:lvlText w:val="%4."/>
      <w:lvlJc w:val="left"/>
      <w:pPr>
        <w:ind w:left="2413" w:hanging="440"/>
      </w:pPr>
    </w:lvl>
    <w:lvl w:ilvl="4" w:tentative="0">
      <w:start w:val="1"/>
      <w:numFmt w:val="lowerLetter"/>
      <w:lvlText w:val="%5)"/>
      <w:lvlJc w:val="left"/>
      <w:pPr>
        <w:ind w:left="2853" w:hanging="440"/>
      </w:pPr>
    </w:lvl>
    <w:lvl w:ilvl="5" w:tentative="0">
      <w:start w:val="1"/>
      <w:numFmt w:val="lowerRoman"/>
      <w:lvlText w:val="%6."/>
      <w:lvlJc w:val="right"/>
      <w:pPr>
        <w:ind w:left="3293" w:hanging="440"/>
      </w:pPr>
    </w:lvl>
    <w:lvl w:ilvl="6" w:tentative="0">
      <w:start w:val="1"/>
      <w:numFmt w:val="decimal"/>
      <w:lvlText w:val="%7."/>
      <w:lvlJc w:val="left"/>
      <w:pPr>
        <w:ind w:left="3733" w:hanging="440"/>
      </w:pPr>
    </w:lvl>
    <w:lvl w:ilvl="7" w:tentative="0">
      <w:start w:val="1"/>
      <w:numFmt w:val="lowerLetter"/>
      <w:lvlText w:val="%8)"/>
      <w:lvlJc w:val="left"/>
      <w:pPr>
        <w:ind w:left="4173" w:hanging="440"/>
      </w:pPr>
    </w:lvl>
    <w:lvl w:ilvl="8" w:tentative="0">
      <w:start w:val="1"/>
      <w:numFmt w:val="lowerRoman"/>
      <w:lvlText w:val="%9."/>
      <w:lvlJc w:val="right"/>
      <w:pPr>
        <w:ind w:left="4613" w:hanging="440"/>
      </w:pPr>
    </w:lvl>
  </w:abstractNum>
  <w:abstractNum w:abstractNumId="1">
    <w:nsid w:val="411B61DB"/>
    <w:multiLevelType w:val="singleLevel"/>
    <w:tmpl w:val="411B61D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5ZTZlZWM1M2E5YzE3YmQ1ODJiZTY5YzZjOTk3ZDQifQ=="/>
  </w:docVars>
  <w:rsids>
    <w:rsidRoot w:val="002268AC"/>
    <w:rsid w:val="000C066D"/>
    <w:rsid w:val="001A6781"/>
    <w:rsid w:val="002268AC"/>
    <w:rsid w:val="00387327"/>
    <w:rsid w:val="00394D2D"/>
    <w:rsid w:val="004A1CF1"/>
    <w:rsid w:val="005C04F8"/>
    <w:rsid w:val="005D288B"/>
    <w:rsid w:val="005F0CB1"/>
    <w:rsid w:val="006728B7"/>
    <w:rsid w:val="006D111C"/>
    <w:rsid w:val="007A53D4"/>
    <w:rsid w:val="00B471CA"/>
    <w:rsid w:val="00CB7E60"/>
    <w:rsid w:val="00D25BD1"/>
    <w:rsid w:val="00D83E6B"/>
    <w:rsid w:val="00FE7F5D"/>
    <w:rsid w:val="1A590B54"/>
    <w:rsid w:val="20916CFE"/>
    <w:rsid w:val="2BBD625D"/>
    <w:rsid w:val="33A84A72"/>
    <w:rsid w:val="497E2BEC"/>
    <w:rsid w:val="4C146224"/>
    <w:rsid w:val="50214EC7"/>
    <w:rsid w:val="5209060F"/>
    <w:rsid w:val="E49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ind w:firstLine="64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Cs w:val="21"/>
    </w:rPr>
  </w:style>
  <w:style w:type="paragraph" w:styleId="13">
    <w:name w:val="Title"/>
    <w:basedOn w:val="1"/>
    <w:next w:val="1"/>
    <w:link w:val="16"/>
    <w:autoRedefine/>
    <w:qFormat/>
    <w:uiPriority w:val="10"/>
    <w:pPr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6">
    <w:name w:val="标题 字符"/>
    <w:basedOn w:val="15"/>
    <w:link w:val="13"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rFonts w:ascii="宋体" w:hAnsi="宋体" w:eastAsia="仿宋" w:cs="宋体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rFonts w:ascii="宋体" w:hAnsi="宋体" w:eastAsia="仿宋" w:cs="宋体"/>
      <w:i/>
      <w:iCs/>
      <w:color w:val="104862" w:themeColor="accent1" w:themeShade="BF"/>
      <w:sz w:val="32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2000</Words>
  <Characters>2245</Characters>
  <Lines>14</Lines>
  <Paragraphs>3</Paragraphs>
  <TotalTime>106</TotalTime>
  <ScaleCrop>false</ScaleCrop>
  <LinksUpToDate>false</LinksUpToDate>
  <CharactersWithSpaces>2255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2024-10-31T09:32:00Z</dcterms:created>
  <dc:creator>feng luo</dc:creator>
  <cp:lastModifiedBy>18824650816</cp:lastModifiedBy>
  <cp:lastPrinted>2024-11-04T02:58:12Z</cp:lastPrinted>
  <dcterms:modified xsi:type="dcterms:W3CDTF">2024-11-04T02:58:14Z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30FAFEE74ABF40BE841E72D71DDDC17C_13</vt:lpwstr>
  </property>
</Properties>
</file>